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eastAsia="仿宋_GB2312"/>
          <w:sz w:val="32"/>
        </w:rPr>
      </w:pPr>
      <w:bookmarkStart w:id="2" w:name="_GoBack"/>
      <w:bookmarkEnd w:id="2"/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/>
          <w:b/>
          <w:bCs/>
          <w:color w:val="FF0000"/>
          <w:w w:val="90"/>
          <w:sz w:val="84"/>
          <w:szCs w:val="84"/>
        </w:rPr>
      </w:pPr>
      <w:r>
        <w:rPr>
          <w:rFonts w:hint="eastAsia"/>
          <w:b/>
          <w:bCs/>
          <w:color w:val="FF0000"/>
          <w:w w:val="90"/>
          <w:sz w:val="84"/>
          <w:szCs w:val="84"/>
        </w:rPr>
        <w:t>重庆电信职业学院文件</w:t>
      </w:r>
    </w:p>
    <w:p>
      <w:pPr>
        <w:rPr>
          <w:rFonts w:hint="eastAsia"/>
          <w:color w:val="FF0000"/>
          <w:sz w:val="44"/>
        </w:rPr>
      </w:pPr>
    </w:p>
    <w:p>
      <w:pPr>
        <w:jc w:val="center"/>
        <w:rPr>
          <w:rFonts w:hint="eastAsia"/>
          <w:color w:val="FF0000"/>
          <w:sz w:val="44"/>
        </w:rPr>
      </w:pPr>
      <w:r>
        <w:rPr>
          <w:rFonts w:hint="eastAsia" w:ascii="仿宋_GB2312" w:eastAsia="仿宋_GB2312"/>
          <w:sz w:val="32"/>
        </w:rPr>
        <w:t>重电信〔</w:t>
      </w:r>
      <w:bookmarkStart w:id="0" w:name="年"/>
      <w:bookmarkEnd w:id="0"/>
      <w:r>
        <w:rPr>
          <w:rFonts w:hint="eastAsia" w:ascii="仿宋_GB2312" w:eastAsia="仿宋_GB2312"/>
          <w:sz w:val="32"/>
        </w:rPr>
        <w:t>2015〕102号</w:t>
      </w:r>
    </w:p>
    <w:p>
      <w:pPr>
        <w:rPr>
          <w:rFonts w:hint="eastAsia"/>
          <w:color w:val="FF0000"/>
          <w:sz w:val="44"/>
        </w:rPr>
      </w:pPr>
      <w:r>
        <w:rPr>
          <w:rFonts w:ascii="Times New Roman" w:hAnsi="Times New Roman" w:eastAsia="宋体" w:cs="Times New Roman"/>
          <w:color w:val="FF0000"/>
          <w:kern w:val="2"/>
          <w:sz w:val="20"/>
          <w:szCs w:val="24"/>
          <w:lang w:val="en-US" w:eastAsia="zh-CN" w:bidi="ar-SA"/>
        </w:rPr>
        <w:pict>
          <v:line id="Line 2" o:spid="_x0000_s1026" style="position:absolute;left:0;margin-left:0pt;margin-top:23.4pt;height:0.05pt;width:450pt;rotation:0f;z-index:251658240;" o:ole="f" fillcolor="#FFFFFF" filled="f" o:preferrelative="t" stroked="t" coordsize="21600,21600">
            <v:fill on="f" color2="#FFFFFF" focus="0%"/>
            <v:stroke weight="3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bookmarkStart w:id="1" w:name="zhengwen"/>
      <w:r>
        <w:rPr>
          <w:rFonts w:hint="eastAsia" w:ascii="方正小标宋_GBK" w:eastAsia="方正小标宋_GBK"/>
          <w:sz w:val="44"/>
          <w:szCs w:val="44"/>
        </w:rPr>
        <w:t>关于开展高等职业教育教学</w:t>
      </w:r>
      <w:r>
        <w:rPr>
          <w:rFonts w:hint="eastAsia" w:ascii="Calibri" w:hAnsi="Calibri" w:eastAsia="方正小标宋_GBK"/>
          <w:sz w:val="44"/>
          <w:szCs w:val="44"/>
        </w:rPr>
        <w:t>思想</w:t>
      </w:r>
      <w:r>
        <w:rPr>
          <w:rFonts w:hint="eastAsia" w:ascii="方正小标宋_GBK" w:eastAsia="方正小标宋_GBK"/>
          <w:sz w:val="44"/>
          <w:szCs w:val="44"/>
        </w:rPr>
        <w:t>大讨论的通知</w:t>
      </w:r>
    </w:p>
    <w:p>
      <w:pPr>
        <w:spacing w:line="594" w:lineRule="exact"/>
        <w:rPr>
          <w:rFonts w:ascii="方正仿宋_GBK" w:eastAsia="方正仿宋_GBK"/>
          <w:sz w:val="32"/>
          <w:szCs w:val="32"/>
        </w:rPr>
      </w:pPr>
    </w:p>
    <w:p>
      <w:pPr>
        <w:spacing w:line="594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校内各部门：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校2011年组建以来，在董事会的领导下，全校教职工奋力拼搏、励精图治，取得了显著成绩，有力地促进了学校的健康发展，呈现出良好的发展势头。为进一步统一认识、凝聚人心，探索和把握高职教育规律，创建特色高职学院，学校决定在全校范围内开展“高等职业教育教学思想观念大讨论”（以下简称大讨论）的学习研讨活动，以进一步明确校办学指导思想、办学定位和办学思路，转变教育思想，更新教育观念，促进学校持续健康的发展。现将有关事项通知如下：</w:t>
      </w:r>
      <w:r>
        <w:rPr>
          <w:rFonts w:ascii="方正仿宋_GBK" w:eastAsia="方正仿宋_GBK"/>
          <w:sz w:val="32"/>
          <w:szCs w:val="32"/>
        </w:rPr>
        <w:t xml:space="preserve"> 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一、指导思想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以科学发展观为指导，遵循高等教育的发展规律，围绕“什么是高职”、“如何办高职”和“培养什么样的人”、“怎样培养人”这两大主题展开讨论，把讨论活动与教育教学改革工作有机结合起来，引导广大教职工树立科学的高职教育思想和理念，强化“质量”和“特色”意识，达到进一步明确人才培养目标和构建人才培养模式，确立我校人才质量特色，促进我校的可持续发展。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二、活动目的与任务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转变思想观念。通过学习讨论增强对高职教育特点、规律的认识理解，转变治校办学理念、转变教职工服务态度、转变人才培养模式，提高学校的办学水平，培育核心竞争力。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hint="eastAsia" w:ascii="方正仿宋_GBK" w:eastAsia="方正仿宋_GBK"/>
          <w:sz w:val="32"/>
          <w:szCs w:val="32"/>
        </w:rPr>
        <w:t>明确办学定位。通过学习讨论，进一步确立学校的办学方向和办学定位问题，形成“十三五”发展规划，强化共识，凝聚人心，促进学校健康稳定协调发展。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hint="eastAsia" w:ascii="方正仿宋_GBK" w:eastAsia="方正仿宋_GBK"/>
          <w:sz w:val="32"/>
          <w:szCs w:val="32"/>
        </w:rPr>
        <w:t>促进评建工作。通过学习讨论，加深对高职高专人才培养工作水平评估的认识，自觉投入到各项评估工作中，高质量地完成评估工作任务，确保评估目标实现。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三、组织领导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学校成立高职教育教学大讨论活动领导小组，成员组成如下：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  长：王大成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周及至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副组长：王成玮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王庆新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钟代军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殷朝华  李运节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员：职能部门负责人、二级学院的党政负责人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领导小组负责学校教育教学大讨论活动的计划制订、组织协调、资料提供、成果收集、讨论记录、活动总结等工作。领导小组下设办公室，成员由刘元勇、杜琳和史甲庆三位同志组成。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四、重点学习篇目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《教育部关于深化职业教育教学改革 全面提高人才培养质量的若干意见》(教职成﹝2015﹞6号)；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2.国家、重庆市高职教育文件、法规（学校印发的《高等职业教育重要文件汇编》篇目3、6、7、8、9）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3.学校评建网有关职业教育的资料文件及领导讲话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4.人才培养工作评估文件和指标体系（评建办印发的评估知识手册）。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Calibri" w:hAnsi="Calibri" w:eastAsia="方正仿宋_GBK"/>
          <w:sz w:val="32"/>
          <w:szCs w:val="32"/>
        </w:rPr>
        <w:t>学校“十三五”发展规划（草稿）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五、活动组织形式：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本次学习研讨活动结合学校领导班子学习、教职工政治学习和业务学习，采取自学与集中组织学习研讨相结合的方式进行：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开展学习活动：各二级学院、各部门结合各自的工作特点和实际情况，组织教职工学习规定篇目，提高高职教育思想认识。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2.举办专题报告：由学校评建办牵头邀请市内专家来校作专题报告，以解放思想、提高认识、开拓视野。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开展工作调研：二级学院组织专业教师开展专业调研，学校适时组织人员到兄弟院校学习调研。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开展专题研讨：各小组要紧紧围绕讨论参考题，开展专题研讨活动。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进行总结提升：在学习、讨论的基础上，各学院、各部门紧密结合实际，组织撰写学习体会的文章或论文，学校集中于</w:t>
      </w:r>
      <w:r>
        <w:rPr>
          <w:rFonts w:ascii="方正仿宋_GBK" w:eastAsia="方正仿宋_GBK"/>
          <w:sz w:val="32"/>
          <w:szCs w:val="32"/>
        </w:rPr>
        <w:t>12</w:t>
      </w:r>
      <w:r>
        <w:rPr>
          <w:rFonts w:hint="eastAsia" w:ascii="方正仿宋_GBK" w:eastAsia="方正仿宋_GBK"/>
          <w:sz w:val="32"/>
          <w:szCs w:val="32"/>
        </w:rPr>
        <w:t>月底召开总结大会，对活动成果进行总结。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六、学习日程安排：</w:t>
      </w:r>
    </w:p>
    <w:p>
      <w:pPr>
        <w:spacing w:line="594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第一阶段（10月－11月）：宣传发动，学习调研阶段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召开全体教职工大会，进行高职教育教学大讨论动员，统一思想认识。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邀请校外专家来校作专题报告，在适当时候由校长作有关学校定位与办学指导思想的专题报告。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3.二级学院组织教师开展专业调研，执行院长带头作专业发展报告。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各学院、各部门根据工作计划组织教职工学习，部门和个人必须做好学习记录备查。</w:t>
      </w:r>
    </w:p>
    <w:p>
      <w:pPr>
        <w:spacing w:line="594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第二阶段（</w:t>
      </w:r>
      <w:r>
        <w:rPr>
          <w:rFonts w:ascii="方正楷体_GBK" w:eastAsia="方正楷体_GBK"/>
          <w:sz w:val="32"/>
          <w:szCs w:val="32"/>
        </w:rPr>
        <w:t>12</w:t>
      </w:r>
      <w:r>
        <w:rPr>
          <w:rFonts w:hint="eastAsia" w:ascii="方正楷体_GBK" w:eastAsia="方正楷体_GBK"/>
          <w:sz w:val="32"/>
          <w:szCs w:val="32"/>
        </w:rPr>
        <w:t>月）：研讨交流，总结落实阶段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 xml:space="preserve"> 本次活动学校按相对集中原则分成六个小组进行研讨，各小组围绕参考题目开展研讨，原则上不低于三次。小组召集人排名在前的牵头组织每次的研讨，校领导参与到相应小组。具体分组情况如下：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第一组：体育与健康学院  教工部  总务部  继培学院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召集人：杨福元  周  立  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校领导：王大成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第二组：设计与建筑学院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校务部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星湖校区运行管理处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召集人：刘元勇  向术桃  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校领导：周及至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第三组：信息工程学院  财务部  教育信息化部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召集人：寇亚丽  钱永刚  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校领导：王成玮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第四组：汽车与电子工程学院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学工部</w:t>
      </w:r>
      <w:r>
        <w:rPr>
          <w:rFonts w:ascii="方正仿宋_GBK" w:eastAsia="方正仿宋_GBK"/>
          <w:sz w:val="32"/>
          <w:szCs w:val="32"/>
        </w:rPr>
        <w:t xml:space="preserve">  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召集人：代  敏  万  云  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校领导：王庆新</w:t>
      </w:r>
    </w:p>
    <w:p>
      <w:pPr>
        <w:spacing w:line="594" w:lineRule="exact"/>
        <w:ind w:left="1910" w:leftChars="300" w:hanging="1280" w:hanging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第五组：财会与金融学院  中部国际学院</w:t>
      </w:r>
    </w:p>
    <w:p>
      <w:pPr>
        <w:spacing w:line="594" w:lineRule="exact"/>
        <w:ind w:left="1470" w:leftChars="700"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招生就业与对外合作部  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召集人：何  宜  何祖祥  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校领导：钟代军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第六组：管理工程学院  基础教学部    教学部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召集人：游祥国  庞开德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校领导：殷朝华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hint="eastAsia" w:ascii="方正仿宋_GBK" w:eastAsia="方正仿宋_GBK"/>
          <w:sz w:val="32"/>
          <w:szCs w:val="32"/>
        </w:rPr>
        <w:t>组织召开全体教职工大会，每个小组选派一名代表参加大会并作交流发言。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hint="eastAsia" w:ascii="方正仿宋_GBK" w:eastAsia="方正仿宋_GBK"/>
          <w:sz w:val="32"/>
          <w:szCs w:val="32"/>
        </w:rPr>
        <w:t>学校中层干部、科岗人员、教研室主任、秘书必须撰写一篇理论文章或心得体会，其他教师自由撰写。所有心得最终上交到活动办公室汇编。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七、相关要求：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加强领导，精心组织。各部门党政领导要高度重视，精心安排、精心组织，充分认识开展高职教育教学思想大讨论的重要意义，切实把这次大讨论作为一次再学习再提高、统一思想的过程，以大讨论推动迎评工作，以大讨论促进学校的发展，促进学校教育质量的提高。各部门党政领导要切实抓好此项工作，结合本单位实际，制定出切实可行的学习讨论计划，按照学校统一表格做好学习研讨记录和考勤工作（见附件），做到时间、内容、记录、检查、考核五落实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hint="eastAsia" w:ascii="方正仿宋_GBK" w:eastAsia="方正仿宋_GBK"/>
          <w:sz w:val="32"/>
          <w:szCs w:val="32"/>
        </w:rPr>
        <w:t>突出主题，把握重点。要紧紧围绕学校办学指导思想、办学定位、人才培养、专业建设、师资队伍、招生就业、学生思想教育与管理等问题，并结合本部门工作开展学习研讨活动，理清思路，转变观念，掌握规律，形成共识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hint="eastAsia" w:ascii="方正仿宋_GBK" w:eastAsia="方正仿宋_GBK"/>
          <w:sz w:val="32"/>
          <w:szCs w:val="32"/>
        </w:rPr>
        <w:t>严格考核，注重实效。本次活动是一次重要学习活动，各部门是否重视，态度是否认真，是对部门和个人考核的重要内容之一。活动办将按照全体教职工是否按时出席，学习是否有笔记，交流是否有主题，发言是否有提纲，总结是否有内容，反思是否有深度，是否切合工作实际进行考核。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八、讨论参考题目：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什么是高职教育？高职教育与普通高等（本科）教育的区别是什么？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2.什么是办学模式、人才培养模式和教学模式？我校该如何推进“工学结合”的人才培养模式改革？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3.高职教育应该构建怎样的教学模式，使用哪些教学方法？该如何改革？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如何以素质教育和技术技能培养为目标，进行教学内容、考核方式和课程体系改革？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5.各专业如何推进实质性产教融合，实现校企合作育人？ 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6.我校该打造哪几个专业群，各专业如何形成特色？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7.我校的办学定位、办学模式、主要办学特色是什么？在“十三五”发展规划中如何凸显？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8.根据“互联网+”、“中国制造2025”、“一带一路”战略等新形势，本校本专业本人应该如何加强学生创新创业教育？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9.作为高职院校的教职工，该如何立足岗位做好服务育人工作？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10.其他紧扣学校活动主题的题目。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附件：1.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高职教育教学思想大讨论学习(研讨)签到表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2.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高职教育教学思想大讨论学习(研讨)记录表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中共重庆电信职业学院委员会    重庆电信职业学院</w:t>
      </w:r>
    </w:p>
    <w:p>
      <w:pPr>
        <w:spacing w:line="594" w:lineRule="exact"/>
        <w:ind w:firstLine="640" w:firstLineChars="20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2015年10月16日 </w:t>
      </w: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1985" w:right="1446" w:bottom="1644" w:left="1446" w:header="851" w:footer="992" w:gutter="0"/>
          <w:cols w:space="425" w:num="1"/>
          <w:docGrid w:type="lines" w:linePitch="312" w:charSpace="0"/>
        </w:sectPr>
      </w:pPr>
    </w:p>
    <w:p>
      <w:pPr>
        <w:spacing w:line="594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高职教育教学思想大讨论学习(研讨)签到表</w:t>
      </w:r>
    </w:p>
    <w:p>
      <w:pPr>
        <w:spacing w:line="520" w:lineRule="exact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 xml:space="preserve">部门(小组):  </w:t>
      </w:r>
      <w:r>
        <w:rPr>
          <w:rFonts w:hint="eastAsia" w:ascii="方正仿宋_GBK" w:eastAsia="方正仿宋_GBK"/>
          <w:sz w:val="28"/>
          <w:szCs w:val="28"/>
        </w:rPr>
        <w:t xml:space="preserve"> </w:t>
      </w:r>
    </w:p>
    <w:tbl>
      <w:tblPr>
        <w:tblStyle w:val="5"/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00"/>
        <w:gridCol w:w="1027"/>
        <w:gridCol w:w="1028"/>
        <w:gridCol w:w="1029"/>
        <w:gridCol w:w="1639"/>
        <w:gridCol w:w="1279"/>
        <w:gridCol w:w="854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7" w:hRule="exact"/>
        </w:trPr>
        <w:tc>
          <w:tcPr>
            <w:tcW w:w="15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会议主题</w:t>
            </w:r>
          </w:p>
        </w:tc>
        <w:tc>
          <w:tcPr>
            <w:tcW w:w="7994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7" w:hRule="exact"/>
        </w:trPr>
        <w:tc>
          <w:tcPr>
            <w:tcW w:w="15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会议时间</w:t>
            </w:r>
          </w:p>
        </w:tc>
        <w:tc>
          <w:tcPr>
            <w:tcW w:w="3084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会议地点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exact"/>
        </w:trPr>
        <w:tc>
          <w:tcPr>
            <w:tcW w:w="15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应到人数</w:t>
            </w:r>
          </w:p>
        </w:tc>
        <w:tc>
          <w:tcPr>
            <w:tcW w:w="102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实到</w:t>
            </w:r>
          </w:p>
        </w:tc>
        <w:tc>
          <w:tcPr>
            <w:tcW w:w="102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事假</w:t>
            </w:r>
          </w:p>
        </w:tc>
        <w:tc>
          <w:tcPr>
            <w:tcW w:w="127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缺席</w:t>
            </w:r>
          </w:p>
        </w:tc>
        <w:tc>
          <w:tcPr>
            <w:tcW w:w="11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592" w:hRule="exact"/>
        </w:trPr>
        <w:tc>
          <w:tcPr>
            <w:tcW w:w="9494" w:type="dxa"/>
            <w:gridSpan w:val="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</w:tr>
    </w:tbl>
    <w:p>
      <w:pPr>
        <w:spacing w:line="594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高职教育教学思想大讨论学习(研讨)</w:t>
      </w:r>
      <w:r>
        <w:rPr>
          <w:rFonts w:hint="eastAsia" w:ascii="Calibri" w:hAnsi="Calibri" w:eastAsia="方正小标宋_GBK"/>
          <w:sz w:val="44"/>
          <w:szCs w:val="44"/>
        </w:rPr>
        <w:t>记录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>
      <w:pPr>
        <w:spacing w:line="520" w:lineRule="exact"/>
        <w:jc w:val="lef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 xml:space="preserve">部门(小组):          </w:t>
      </w:r>
    </w:p>
    <w:tbl>
      <w:tblPr>
        <w:tblStyle w:val="5"/>
        <w:tblW w:w="9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"/>
        <w:gridCol w:w="1541"/>
        <w:gridCol w:w="1541"/>
        <w:gridCol w:w="1541"/>
        <w:gridCol w:w="1541"/>
        <w:gridCol w:w="1542"/>
        <w:gridCol w:w="1672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6" w:type="dxa"/>
          <w:trHeight w:val="491" w:hRule="atLeast"/>
        </w:trPr>
        <w:tc>
          <w:tcPr>
            <w:tcW w:w="1541" w:type="dxa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会议主题</w:t>
            </w:r>
          </w:p>
        </w:tc>
        <w:tc>
          <w:tcPr>
            <w:tcW w:w="7945" w:type="dxa"/>
            <w:gridSpan w:val="6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6" w:type="dxa"/>
          <w:trHeight w:val="478" w:hRule="atLeast"/>
        </w:trPr>
        <w:tc>
          <w:tcPr>
            <w:tcW w:w="1541" w:type="dxa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会议时间</w:t>
            </w:r>
          </w:p>
        </w:tc>
        <w:tc>
          <w:tcPr>
            <w:tcW w:w="3082" w:type="dxa"/>
            <w:gridSpan w:val="2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会议地点</w:t>
            </w:r>
          </w:p>
        </w:tc>
        <w:tc>
          <w:tcPr>
            <w:tcW w:w="3322" w:type="dxa"/>
            <w:gridSpan w:val="3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478" w:hRule="atLeast"/>
        </w:trPr>
        <w:tc>
          <w:tcPr>
            <w:tcW w:w="1541" w:type="dxa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主持人</w:t>
            </w:r>
          </w:p>
        </w:tc>
        <w:tc>
          <w:tcPr>
            <w:tcW w:w="1541" w:type="dxa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记录人</w:t>
            </w:r>
          </w:p>
        </w:tc>
        <w:tc>
          <w:tcPr>
            <w:tcW w:w="1541" w:type="dxa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42" w:type="dxa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参会人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见签到表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491" w:hRule="atLeast"/>
        </w:trPr>
        <w:tc>
          <w:tcPr>
            <w:tcW w:w="9486" w:type="dxa"/>
            <w:gridSpan w:val="7"/>
            <w:vAlign w:val="top"/>
          </w:tcPr>
          <w:p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9870" w:hRule="atLeast"/>
        </w:trPr>
        <w:tc>
          <w:tcPr>
            <w:tcW w:w="9486" w:type="dxa"/>
            <w:gridSpan w:val="7"/>
            <w:vAlign w:val="top"/>
          </w:tcPr>
          <w:p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3202" w:hRule="atLeast"/>
        </w:trPr>
        <w:tc>
          <w:tcPr>
            <w:tcW w:w="9384" w:type="dxa"/>
            <w:gridSpan w:val="7"/>
            <w:vAlign w:val="top"/>
          </w:tcPr>
          <w:p>
            <w:pPr>
              <w:rPr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3005" w:hRule="atLeast"/>
        </w:trPr>
        <w:tc>
          <w:tcPr>
            <w:tcW w:w="9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18"/>
                <w:szCs w:val="18"/>
                <w:u w:val="single"/>
              </w:rPr>
            </w:pPr>
          </w:p>
        </w:tc>
      </w:tr>
    </w:tbl>
    <w:p>
      <w:pPr>
        <w:jc w:val="left"/>
        <w:rPr>
          <w:rFonts w:ascii="方正仿宋_GBK" w:eastAsia="方正仿宋_GBK"/>
          <w:szCs w:val="21"/>
        </w:rPr>
      </w:pPr>
    </w:p>
    <w:bookmarkEnd w:id="1"/>
    <w:p>
      <w:pPr>
        <w:rPr>
          <w:rFonts w:hint="eastAsia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/>
    <w:p>
      <w:pPr>
        <w:tabs>
          <w:tab w:val="left" w:pos="8690"/>
        </w:tabs>
        <w:spacing w:line="594" w:lineRule="exact"/>
        <w:ind w:firstLine="315" w:firstLineChars="150"/>
        <w:rPr>
          <w:rFonts w:ascii="Calibri"/>
          <w:szCs w:val="20"/>
        </w:rPr>
      </w:pPr>
      <w:r>
        <w:rPr>
          <w:rFonts w:ascii="Calibri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Line 3" o:spid="_x0000_s1027" style="position:absolute;left:0;margin-left:11.65pt;margin-top:31.05pt;height:0.05pt;width:425.2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Line 4" o:spid="_x0000_s1028" style="position:absolute;left:0;margin-left:11.55pt;margin-top:2.4pt;height:0.05pt;width:425.2pt;rotation:0f;z-index:251660288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方正仿宋_GBK" w:eastAsia="方正仿宋_GBK"/>
          <w:sz w:val="28"/>
          <w:szCs w:val="28"/>
        </w:rPr>
        <w:t>重庆电信职业学院党政办公室             2015年10月19日印</w:t>
      </w:r>
    </w:p>
    <w:sectPr>
      <w:pgSz w:w="11906" w:h="16838"/>
      <w:pgMar w:top="1446" w:right="1446" w:bottom="1077" w:left="1446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hint="eastAsia" w:ascii="宋体" w:hAnsi="宋体"/>
        <w:sz w:val="28"/>
        <w:szCs w:val="28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hint="eastAsia" w:ascii="宋体" w:hAnsi="宋体"/>
        <w:sz w:val="28"/>
        <w:szCs w:val="28"/>
      </w:rPr>
      <w:t>－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C01AD"/>
    <w:rsid w:val="00030C58"/>
    <w:rsid w:val="00030F99"/>
    <w:rsid w:val="00031C8B"/>
    <w:rsid w:val="000360B4"/>
    <w:rsid w:val="00040AC2"/>
    <w:rsid w:val="00040D0D"/>
    <w:rsid w:val="00044A8B"/>
    <w:rsid w:val="0004620E"/>
    <w:rsid w:val="00051323"/>
    <w:rsid w:val="00061049"/>
    <w:rsid w:val="00085A1A"/>
    <w:rsid w:val="000970A4"/>
    <w:rsid w:val="000A0BA8"/>
    <w:rsid w:val="000C3238"/>
    <w:rsid w:val="000E0D01"/>
    <w:rsid w:val="000F1BA2"/>
    <w:rsid w:val="000F336C"/>
    <w:rsid w:val="000F63AE"/>
    <w:rsid w:val="0014717B"/>
    <w:rsid w:val="0016092E"/>
    <w:rsid w:val="0017436D"/>
    <w:rsid w:val="001830A8"/>
    <w:rsid w:val="001A3F6D"/>
    <w:rsid w:val="001A58EA"/>
    <w:rsid w:val="001B0B6F"/>
    <w:rsid w:val="001C0845"/>
    <w:rsid w:val="001F1E0F"/>
    <w:rsid w:val="001F5F05"/>
    <w:rsid w:val="002135D0"/>
    <w:rsid w:val="002138F2"/>
    <w:rsid w:val="00234316"/>
    <w:rsid w:val="00237490"/>
    <w:rsid w:val="00247AE2"/>
    <w:rsid w:val="00250FE4"/>
    <w:rsid w:val="002A4C84"/>
    <w:rsid w:val="002C0622"/>
    <w:rsid w:val="002C25E7"/>
    <w:rsid w:val="002D2B61"/>
    <w:rsid w:val="002D2CC2"/>
    <w:rsid w:val="002D6EDC"/>
    <w:rsid w:val="002F7099"/>
    <w:rsid w:val="0033770A"/>
    <w:rsid w:val="0034411A"/>
    <w:rsid w:val="003452CE"/>
    <w:rsid w:val="0034708E"/>
    <w:rsid w:val="00362109"/>
    <w:rsid w:val="003832D6"/>
    <w:rsid w:val="00387C46"/>
    <w:rsid w:val="003937A2"/>
    <w:rsid w:val="0039528A"/>
    <w:rsid w:val="003B134B"/>
    <w:rsid w:val="003D5F52"/>
    <w:rsid w:val="003E5F4C"/>
    <w:rsid w:val="003F0E0E"/>
    <w:rsid w:val="003F7D05"/>
    <w:rsid w:val="00416AA7"/>
    <w:rsid w:val="00433CD8"/>
    <w:rsid w:val="00462D4D"/>
    <w:rsid w:val="0046631E"/>
    <w:rsid w:val="004706C2"/>
    <w:rsid w:val="00491F98"/>
    <w:rsid w:val="004C4762"/>
    <w:rsid w:val="004C4B4B"/>
    <w:rsid w:val="004D310C"/>
    <w:rsid w:val="004F453A"/>
    <w:rsid w:val="004F5E0A"/>
    <w:rsid w:val="00514F71"/>
    <w:rsid w:val="005500B1"/>
    <w:rsid w:val="00574FC4"/>
    <w:rsid w:val="00586DF0"/>
    <w:rsid w:val="00595A25"/>
    <w:rsid w:val="005A1CA6"/>
    <w:rsid w:val="005A3D42"/>
    <w:rsid w:val="006071B4"/>
    <w:rsid w:val="00610FDD"/>
    <w:rsid w:val="006241A9"/>
    <w:rsid w:val="00634E6F"/>
    <w:rsid w:val="0064684C"/>
    <w:rsid w:val="00660D4F"/>
    <w:rsid w:val="00686253"/>
    <w:rsid w:val="00691D84"/>
    <w:rsid w:val="006959B7"/>
    <w:rsid w:val="0069623C"/>
    <w:rsid w:val="006A1089"/>
    <w:rsid w:val="006C778E"/>
    <w:rsid w:val="006D6270"/>
    <w:rsid w:val="00703FFB"/>
    <w:rsid w:val="00730899"/>
    <w:rsid w:val="00731449"/>
    <w:rsid w:val="00742A80"/>
    <w:rsid w:val="0074425E"/>
    <w:rsid w:val="007A16E1"/>
    <w:rsid w:val="007B1441"/>
    <w:rsid w:val="007B4E74"/>
    <w:rsid w:val="007C6C7A"/>
    <w:rsid w:val="007E4B91"/>
    <w:rsid w:val="007E7263"/>
    <w:rsid w:val="007F5479"/>
    <w:rsid w:val="008042DD"/>
    <w:rsid w:val="00805DC4"/>
    <w:rsid w:val="008122EF"/>
    <w:rsid w:val="00815814"/>
    <w:rsid w:val="00824A06"/>
    <w:rsid w:val="00827E44"/>
    <w:rsid w:val="00840A58"/>
    <w:rsid w:val="00840A98"/>
    <w:rsid w:val="00843DA7"/>
    <w:rsid w:val="00882ED2"/>
    <w:rsid w:val="008A53B8"/>
    <w:rsid w:val="008C2546"/>
    <w:rsid w:val="008D0A4B"/>
    <w:rsid w:val="008D4C54"/>
    <w:rsid w:val="008D5C76"/>
    <w:rsid w:val="00914A3F"/>
    <w:rsid w:val="00932D48"/>
    <w:rsid w:val="009369E4"/>
    <w:rsid w:val="0095120D"/>
    <w:rsid w:val="00970EA8"/>
    <w:rsid w:val="009745D5"/>
    <w:rsid w:val="00983BFC"/>
    <w:rsid w:val="009853F9"/>
    <w:rsid w:val="009C1BE2"/>
    <w:rsid w:val="009E7B5B"/>
    <w:rsid w:val="00A0302A"/>
    <w:rsid w:val="00A54189"/>
    <w:rsid w:val="00A55AE3"/>
    <w:rsid w:val="00A82AEF"/>
    <w:rsid w:val="00A92F60"/>
    <w:rsid w:val="00AA72E4"/>
    <w:rsid w:val="00AB55FA"/>
    <w:rsid w:val="00AC01AD"/>
    <w:rsid w:val="00AC6A52"/>
    <w:rsid w:val="00AD23DC"/>
    <w:rsid w:val="00AE711A"/>
    <w:rsid w:val="00AF2067"/>
    <w:rsid w:val="00AF527C"/>
    <w:rsid w:val="00B02336"/>
    <w:rsid w:val="00B158E1"/>
    <w:rsid w:val="00B3336A"/>
    <w:rsid w:val="00B40A86"/>
    <w:rsid w:val="00B44073"/>
    <w:rsid w:val="00B54224"/>
    <w:rsid w:val="00B5796F"/>
    <w:rsid w:val="00B62F63"/>
    <w:rsid w:val="00B7161E"/>
    <w:rsid w:val="00B759C5"/>
    <w:rsid w:val="00B93812"/>
    <w:rsid w:val="00B94AE7"/>
    <w:rsid w:val="00B9707F"/>
    <w:rsid w:val="00BB69F6"/>
    <w:rsid w:val="00BC74C8"/>
    <w:rsid w:val="00BD76C8"/>
    <w:rsid w:val="00BE74EA"/>
    <w:rsid w:val="00C123F3"/>
    <w:rsid w:val="00C35CC2"/>
    <w:rsid w:val="00C45E8F"/>
    <w:rsid w:val="00C50D72"/>
    <w:rsid w:val="00C70D92"/>
    <w:rsid w:val="00C86ED6"/>
    <w:rsid w:val="00C9614E"/>
    <w:rsid w:val="00CA639B"/>
    <w:rsid w:val="00CB4CAB"/>
    <w:rsid w:val="00CC1214"/>
    <w:rsid w:val="00CC3242"/>
    <w:rsid w:val="00CC4326"/>
    <w:rsid w:val="00CD2725"/>
    <w:rsid w:val="00CE2CFA"/>
    <w:rsid w:val="00CE66F7"/>
    <w:rsid w:val="00D00392"/>
    <w:rsid w:val="00D073B7"/>
    <w:rsid w:val="00D210AA"/>
    <w:rsid w:val="00D23B40"/>
    <w:rsid w:val="00D37BFB"/>
    <w:rsid w:val="00D62F36"/>
    <w:rsid w:val="00DA1499"/>
    <w:rsid w:val="00DB30C4"/>
    <w:rsid w:val="00DB43E1"/>
    <w:rsid w:val="00DB51D1"/>
    <w:rsid w:val="00DC5AD6"/>
    <w:rsid w:val="00DE0705"/>
    <w:rsid w:val="00DE0BEA"/>
    <w:rsid w:val="00DE73CC"/>
    <w:rsid w:val="00E07200"/>
    <w:rsid w:val="00E6138F"/>
    <w:rsid w:val="00E76B8D"/>
    <w:rsid w:val="00E85C1B"/>
    <w:rsid w:val="00EA582F"/>
    <w:rsid w:val="00EB17D1"/>
    <w:rsid w:val="00ED0B58"/>
    <w:rsid w:val="00ED5740"/>
    <w:rsid w:val="00EE4D17"/>
    <w:rsid w:val="00EF3783"/>
    <w:rsid w:val="00EF5FF2"/>
    <w:rsid w:val="00F21C67"/>
    <w:rsid w:val="00F2430B"/>
    <w:rsid w:val="00F37E8F"/>
    <w:rsid w:val="00F4270D"/>
    <w:rsid w:val="00F437D1"/>
    <w:rsid w:val="00F630DF"/>
    <w:rsid w:val="00F635C8"/>
    <w:rsid w:val="00F67CDA"/>
    <w:rsid w:val="00F74574"/>
    <w:rsid w:val="00F77E7C"/>
    <w:rsid w:val="00F96260"/>
    <w:rsid w:val="00F97CE3"/>
    <w:rsid w:val="00FA0789"/>
    <w:rsid w:val="00FA291E"/>
    <w:rsid w:val="00FA4100"/>
    <w:rsid w:val="00FC4DFC"/>
    <w:rsid w:val="00FF2436"/>
    <w:rsid w:val="00FF2FFF"/>
    <w:rsid w:val="00FF4B1F"/>
    <w:rsid w:val="6AC92062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locked/>
    <w:uiPriority w:val="59"/>
    <w:pPr>
      <w:jc w:val="both"/>
    </w:pPr>
    <w:rPr>
      <w:rFonts w:ascii="宋体" w:hAnsi="宋体"/>
      <w:kern w:val="2"/>
      <w:sz w:val="21"/>
      <w:szCs w:val="22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489</Words>
  <Characters>2790</Characters>
  <Lines>23</Lines>
  <Paragraphs>6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2015-09-20T13:38:00Z</dcterms:created>
  <dc:creator>jacky</dc:creator>
  <cp:lastModifiedBy>Administrator</cp:lastModifiedBy>
  <cp:lastPrinted>2015-09-22T08:40:00Z</cp:lastPrinted>
  <dcterms:modified xsi:type="dcterms:W3CDTF">2015-11-01T06:18:32Z</dcterms:modified>
  <dc:title>高等职业教育教学大讨论活动方案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