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1"/>
        <w:rPr>
          <w:rFonts w:ascii="方正小标宋_GBK" w:hAnsi="黑体" w:eastAsia="方正小标宋_GBK" w:cs="黑体"/>
          <w:color w:val="0070C0"/>
          <w:kern w:val="0"/>
          <w:sz w:val="44"/>
          <w:szCs w:val="44"/>
          <w:lang w:val="zh-CN"/>
        </w:rPr>
      </w:pPr>
      <w:bookmarkStart w:id="0" w:name="_Toc21194"/>
      <w:r>
        <w:rPr>
          <w:rFonts w:hint="eastAsia" w:ascii="方正小标宋_GBK" w:hAnsi="黑体" w:eastAsia="方正小标宋_GBK" w:cs="黑体"/>
          <w:kern w:val="0"/>
          <w:sz w:val="44"/>
          <w:szCs w:val="44"/>
          <w:lang w:val="zh-CN"/>
        </w:rPr>
        <w:t>重庆电信职业学院学生申诉处理</w:t>
      </w:r>
      <w:bookmarkEnd w:id="0"/>
      <w:r>
        <w:rPr>
          <w:rFonts w:hint="eastAsia" w:ascii="方正小标宋_GBK" w:hAnsi="黑体" w:eastAsia="方正小标宋_GBK" w:cs="黑体"/>
          <w:kern w:val="0"/>
          <w:sz w:val="44"/>
          <w:szCs w:val="44"/>
          <w:lang w:val="zh-CN"/>
        </w:rPr>
        <w:t>办法</w:t>
      </w:r>
    </w:p>
    <w:p>
      <w:pPr>
        <w:spacing w:line="600" w:lineRule="exact"/>
        <w:jc w:val="center"/>
        <w:rPr>
          <w:rFonts w:ascii="方正黑体_GBK" w:hAnsi="Arial" w:eastAsia="方正黑体_GBK" w:cs="仿宋_GB2312"/>
          <w:b/>
          <w:spacing w:val="16"/>
          <w:sz w:val="32"/>
          <w:szCs w:val="32"/>
          <w:lang w:val="zh-CN"/>
        </w:rPr>
      </w:pPr>
    </w:p>
    <w:p>
      <w:pPr>
        <w:spacing w:line="600" w:lineRule="exact"/>
        <w:jc w:val="center"/>
        <w:rPr>
          <w:rFonts w:ascii="方正黑体_GBK" w:hAnsi="Arial" w:eastAsia="方正黑体_GBK" w:cs="仿宋_GB2312"/>
          <w:b/>
          <w:spacing w:val="16"/>
          <w:sz w:val="32"/>
          <w:szCs w:val="32"/>
          <w:lang w:val="zh-CN"/>
        </w:rPr>
      </w:pPr>
      <w:r>
        <w:rPr>
          <w:rFonts w:hint="eastAsia" w:ascii="方正黑体_GBK" w:hAnsi="Arial" w:eastAsia="方正黑体_GBK" w:cs="仿宋_GB2312"/>
          <w:b/>
          <w:spacing w:val="16"/>
          <w:sz w:val="32"/>
          <w:szCs w:val="32"/>
          <w:lang w:val="zh-CN"/>
        </w:rPr>
        <w:t>第一章  总  则</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第一条</w:t>
      </w:r>
      <w:r>
        <w:rPr>
          <w:rFonts w:hint="eastAsia" w:ascii="方正仿宋_GBK" w:hAnsi="Arial" w:eastAsia="方正仿宋_GBK" w:cs="仿宋_GB2312"/>
          <w:spacing w:val="16"/>
          <w:sz w:val="32"/>
          <w:szCs w:val="32"/>
          <w:lang w:val="zh-CN"/>
        </w:rPr>
        <w:t xml:space="preserve"> 为规范学生</w:t>
      </w:r>
      <w:r>
        <w:rPr>
          <w:rFonts w:hint="eastAsia" w:ascii="方正仿宋_GBK" w:hAnsi="Arial" w:eastAsia="方正仿宋_GBK" w:cs="仿宋_GB2312"/>
          <w:spacing w:val="16"/>
          <w:sz w:val="32"/>
          <w:szCs w:val="32"/>
          <w:lang w:val="zh-CN" w:eastAsia="zh-CN"/>
        </w:rPr>
        <w:t>校</w:t>
      </w:r>
      <w:r>
        <w:rPr>
          <w:rFonts w:hint="eastAsia" w:ascii="方正仿宋_GBK" w:hAnsi="Arial" w:eastAsia="方正仿宋_GBK" w:cs="仿宋_GB2312"/>
          <w:spacing w:val="16"/>
          <w:sz w:val="32"/>
          <w:szCs w:val="32"/>
          <w:lang w:val="zh-CN"/>
        </w:rPr>
        <w:t>内申诉制度，保证重庆电信职业</w:t>
      </w:r>
      <w:r>
        <w:rPr>
          <w:rFonts w:ascii="方正仿宋_GBK" w:hAnsi="Arial" w:eastAsia="方正仿宋_GBK" w:cs="仿宋_GB2312"/>
          <w:spacing w:val="16"/>
          <w:sz w:val="32"/>
          <w:szCs w:val="32"/>
          <w:lang w:val="zh-CN"/>
        </w:rPr>
        <w:t>学院（</w:t>
      </w:r>
      <w:r>
        <w:rPr>
          <w:rFonts w:hint="eastAsia" w:ascii="方正仿宋_GBK" w:hAnsi="Arial" w:eastAsia="方正仿宋_GBK" w:cs="仿宋_GB2312"/>
          <w:spacing w:val="16"/>
          <w:sz w:val="32"/>
          <w:szCs w:val="32"/>
          <w:lang w:val="zh-CN"/>
        </w:rPr>
        <w:t>以下简称学校）处理行为的客观、公正，保障学生的合法权益，根据教育部《普通高等学校学生管理规定》和《重庆电信职业学院学生管理规定》以及有关法律法规，制定本规定。</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 xml:space="preserve">第二条 </w:t>
      </w:r>
      <w:r>
        <w:rPr>
          <w:rFonts w:hint="eastAsia" w:ascii="方正仿宋_GBK" w:hAnsi="Arial" w:eastAsia="方正仿宋_GBK" w:cs="仿宋_GB2312"/>
          <w:spacing w:val="16"/>
          <w:sz w:val="32"/>
          <w:szCs w:val="32"/>
        </w:rPr>
        <w:t>本办法所称的申诉，是指学生对学校做出的</w:t>
      </w:r>
      <w:r>
        <w:rPr>
          <w:rFonts w:hint="eastAsia" w:ascii="方正仿宋_GBK" w:hAnsi="Arial" w:eastAsia="方正仿宋_GBK" w:cs="仿宋_GB2312"/>
          <w:spacing w:val="16"/>
          <w:sz w:val="32"/>
          <w:szCs w:val="32"/>
          <w:lang w:val="zh-CN"/>
        </w:rPr>
        <w:t>涉及本人权益的处理或处分决定不服，向学校提出撤销、变更相应处理或处分决定的意见和要求。</w:t>
      </w:r>
    </w:p>
    <w:p>
      <w:pPr>
        <w:autoSpaceDE w:val="0"/>
        <w:autoSpaceDN w:val="0"/>
        <w:adjustRightInd w:val="0"/>
        <w:spacing w:line="600" w:lineRule="exact"/>
        <w:ind w:firstLine="704" w:firstLineChars="200"/>
        <w:jc w:val="left"/>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第三条</w:t>
      </w:r>
      <w:r>
        <w:rPr>
          <w:rFonts w:hint="eastAsia" w:ascii="方正仿宋_GBK" w:hAnsi="Arial" w:eastAsia="方正仿宋_GBK" w:cs="仿宋_GB2312"/>
          <w:spacing w:val="16"/>
          <w:sz w:val="32"/>
          <w:szCs w:val="32"/>
          <w:lang w:val="zh-CN"/>
        </w:rPr>
        <w:t xml:space="preserve"> 本办法适用于我校对接受普通高等学历教育</w:t>
      </w:r>
      <w:r>
        <w:rPr>
          <w:rFonts w:hint="eastAsia" w:ascii="方正仿宋_GBK" w:eastAsia="方正仿宋_GBK" w:cs="FangSong_GB2312-Identity-H"/>
          <w:kern w:val="0"/>
          <w:sz w:val="32"/>
          <w:szCs w:val="32"/>
        </w:rPr>
        <w:t>的</w:t>
      </w:r>
      <w:r>
        <w:rPr>
          <w:rFonts w:hint="eastAsia" w:ascii="方正仿宋_GBK" w:hAnsi="宋体" w:eastAsia="方正仿宋_GBK" w:cs="宋体"/>
          <w:color w:val="000000"/>
          <w:sz w:val="32"/>
          <w:szCs w:val="32"/>
        </w:rPr>
        <w:t>专科（高职）学生</w:t>
      </w:r>
      <w:r>
        <w:rPr>
          <w:rFonts w:hint="eastAsia" w:ascii="方正仿宋_GBK" w:eastAsia="方正仿宋_GBK" w:cs="FangSong_GB2312-Identity-H"/>
          <w:kern w:val="0"/>
          <w:sz w:val="32"/>
          <w:szCs w:val="32"/>
        </w:rPr>
        <w:t>（以下简称学生）</w:t>
      </w:r>
      <w:r>
        <w:rPr>
          <w:rFonts w:hint="eastAsia" w:ascii="方正仿宋_GBK" w:hAnsi="Arial" w:eastAsia="方正仿宋_GBK" w:cs="仿宋_GB2312"/>
          <w:spacing w:val="16"/>
          <w:sz w:val="32"/>
          <w:szCs w:val="32"/>
          <w:lang w:val="zh-CN"/>
        </w:rPr>
        <w:t>。</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第四条</w:t>
      </w:r>
      <w:r>
        <w:rPr>
          <w:rFonts w:hint="eastAsia" w:ascii="方正仿宋_GBK" w:hAnsi="Arial" w:eastAsia="方正仿宋_GBK" w:cs="仿宋_GB2312"/>
          <w:spacing w:val="16"/>
          <w:sz w:val="32"/>
          <w:szCs w:val="32"/>
          <w:lang w:val="zh-CN"/>
        </w:rPr>
        <w:t xml:space="preserve"> 学生坚持严肃、认真、诚实的原则提出申诉；学校坚持公开、公正、实事求是和有错必纠的原则处理学生的申诉。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第五条</w:t>
      </w:r>
      <w:r>
        <w:rPr>
          <w:rFonts w:hint="eastAsia"/>
          <w:color w:val="0070C0"/>
        </w:rPr>
        <w:t xml:space="preserve">  </w:t>
      </w:r>
      <w:r>
        <w:rPr>
          <w:rFonts w:hint="eastAsia" w:ascii="方正仿宋_GBK" w:hAnsi="Arial" w:eastAsia="方正仿宋_GBK" w:cs="仿宋_GB2312"/>
          <w:spacing w:val="16"/>
          <w:sz w:val="32"/>
          <w:szCs w:val="32"/>
          <w:lang w:val="zh-CN"/>
        </w:rPr>
        <w:t>学校设立学生申诉处理委员会，负责受理学生对处理或者处分决定不服提起的申诉。申诉处理委员会设主任、副主任，由学校负责人任主任，学校分管校领导任副主任，其他成员由教工部、校务部、教师代表、学生代表、学校法律顾问7人组成。申述处理委员会下设办公室，办公室设在校务部，负责受理申述申请书，组织复查，报告结果，提出建议，并根据学生申诉处理委员会的复查决定制作、送达复查决定书。</w:t>
      </w:r>
    </w:p>
    <w:p>
      <w:pPr>
        <w:spacing w:line="600" w:lineRule="exact"/>
        <w:jc w:val="center"/>
        <w:rPr>
          <w:rFonts w:ascii="方正黑体_GBK" w:hAnsi="Arial" w:eastAsia="方正黑体_GBK" w:cs="仿宋_GB2312"/>
          <w:b/>
          <w:spacing w:val="16"/>
          <w:sz w:val="32"/>
          <w:szCs w:val="32"/>
          <w:lang w:val="zh-CN"/>
        </w:rPr>
      </w:pPr>
      <w:r>
        <w:rPr>
          <w:rFonts w:hint="eastAsia" w:ascii="方正黑体_GBK" w:hAnsi="Arial" w:eastAsia="方正黑体_GBK" w:cs="仿宋_GB2312"/>
          <w:b/>
          <w:spacing w:val="16"/>
          <w:sz w:val="32"/>
          <w:szCs w:val="32"/>
          <w:lang w:val="zh-CN"/>
        </w:rPr>
        <w:t>第二章  申诉的受理</w:t>
      </w:r>
    </w:p>
    <w:p>
      <w:pPr>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第六条</w:t>
      </w:r>
      <w:r>
        <w:rPr>
          <w:rFonts w:hint="eastAsia" w:ascii="方正仿宋_GBK" w:hAnsi="Arial" w:eastAsia="方正仿宋_GBK" w:cs="仿宋_GB2312"/>
          <w:spacing w:val="16"/>
          <w:sz w:val="32"/>
          <w:szCs w:val="32"/>
          <w:lang w:val="zh-CN"/>
        </w:rPr>
        <w:t xml:space="preserve"> 学生对学校的处理或者处分决定有异议的，可以在接到学校处理或者处分决定书之日起10日内向申诉处理委员会提出书面申诉。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（一）对学生本人做出的取消入学资格；</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（二）对学生本人做出的退学处理；</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（三）对学生本人做出的警告、严重警告、记过、留校察看、开除学籍等纪律处分。</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第七条</w:t>
      </w:r>
      <w:r>
        <w:rPr>
          <w:rFonts w:hint="eastAsia"/>
        </w:rPr>
        <w:t xml:space="preserve"> </w:t>
      </w:r>
      <w:r>
        <w:rPr>
          <w:rFonts w:hint="eastAsia" w:ascii="方正仿宋_GBK" w:hAnsi="Arial" w:eastAsia="方正仿宋_GBK" w:cs="仿宋_GB2312"/>
          <w:spacing w:val="16"/>
          <w:sz w:val="32"/>
          <w:szCs w:val="32"/>
          <w:lang w:val="zh-CN"/>
        </w:rPr>
        <w:t>学生提出申诉时，应当向学生申诉处理委员会递交《重庆电信职业学院学生申诉申请表》（附件），并附上学校做出的处理决定书（复印件）。申诉书应当载明下列内容：</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（一）申诉人的姓名、性别、班级、学号、院系、专业及其它基本情况；</w:t>
      </w:r>
    </w:p>
    <w:p>
      <w:pPr>
        <w:autoSpaceDE w:val="0"/>
        <w:autoSpaceDN w:val="0"/>
        <w:adjustRightInd w:val="0"/>
        <w:spacing w:line="600" w:lineRule="exact"/>
        <w:ind w:firstLine="704" w:firstLineChars="200"/>
        <w:rPr>
          <w:color w:val="0070C0"/>
          <w:lang w:val="zh-CN"/>
        </w:rPr>
      </w:pPr>
      <w:r>
        <w:rPr>
          <w:rFonts w:hint="eastAsia" w:ascii="方正仿宋_GBK" w:hAnsi="Arial" w:eastAsia="方正仿宋_GBK" w:cs="仿宋_GB2312"/>
          <w:spacing w:val="16"/>
          <w:sz w:val="32"/>
          <w:szCs w:val="32"/>
          <w:lang w:val="zh-CN"/>
        </w:rPr>
        <w:t>（二）申诉的事项、理由、要求及证据材料；</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（三）提出申诉的日期，申诉人签名。</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lang w:val="zh-CN"/>
        </w:rPr>
      </w:pPr>
      <w:r>
        <w:rPr>
          <w:rFonts w:hint="eastAsia" w:ascii="方正黑体_GBK" w:hAnsi="Arial" w:eastAsia="方正黑体_GBK" w:cs="仿宋_GB2312"/>
          <w:spacing w:val="16"/>
          <w:sz w:val="32"/>
          <w:szCs w:val="32"/>
          <w:lang w:val="zh-CN"/>
        </w:rPr>
        <w:t>第八条</w:t>
      </w:r>
      <w:r>
        <w:rPr>
          <w:rFonts w:hint="eastAsia" w:ascii="方正仿宋_GBK" w:hAnsi="Arial" w:eastAsia="方正仿宋_GBK" w:cs="仿宋_GB2312"/>
          <w:spacing w:val="16"/>
          <w:sz w:val="32"/>
          <w:szCs w:val="32"/>
          <w:lang w:val="zh-CN"/>
        </w:rPr>
        <w:t xml:space="preserve"> </w:t>
      </w:r>
      <w:r>
        <w:rPr>
          <w:rFonts w:hint="eastAsia" w:ascii="方正仿宋_GBK" w:hAnsi="Arial" w:eastAsia="方正仿宋_GBK" w:cs="仿宋_GB2312"/>
          <w:spacing w:val="12"/>
          <w:sz w:val="32"/>
          <w:szCs w:val="32"/>
          <w:lang w:val="zh-CN"/>
        </w:rPr>
        <w:t>对学生提出的申诉，学生申诉处理委员会在接到申诉书之日起</w:t>
      </w:r>
      <w:r>
        <w:rPr>
          <w:rFonts w:ascii="方正仿宋_GBK" w:hAnsi="Arial" w:eastAsia="方正仿宋_GBK" w:cs="仿宋_GB2312"/>
          <w:spacing w:val="12"/>
          <w:sz w:val="32"/>
          <w:szCs w:val="32"/>
          <w:lang w:val="zh-CN"/>
        </w:rPr>
        <w:t>5</w:t>
      </w:r>
      <w:r>
        <w:rPr>
          <w:rFonts w:hint="eastAsia" w:ascii="方正仿宋_GBK" w:hAnsi="Arial" w:eastAsia="方正仿宋_GBK" w:cs="仿宋_GB2312"/>
          <w:spacing w:val="12"/>
          <w:sz w:val="32"/>
          <w:szCs w:val="32"/>
          <w:lang w:val="zh-CN"/>
        </w:rPr>
        <w:t>日内，区别不同情况做出如下处理：</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（一）予以受理，向申诉人下达受理通知书;</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（二）申诉材料不齐备，限期补正。过期不补正的视为不再申诉;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（三）对不符合受理范围的申诉，向申诉人下达不予受理裁定书。</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lang w:val="zh-CN"/>
        </w:rPr>
      </w:pPr>
      <w:r>
        <w:rPr>
          <w:rFonts w:hint="eastAsia" w:ascii="方正黑体_GBK" w:hAnsi="Arial" w:eastAsia="方正黑体_GBK" w:cs="仿宋_GB2312"/>
          <w:spacing w:val="16"/>
          <w:sz w:val="32"/>
          <w:szCs w:val="32"/>
          <w:lang w:val="zh-CN"/>
        </w:rPr>
        <w:t>第九条</w:t>
      </w:r>
      <w:r>
        <w:rPr>
          <w:rFonts w:hint="eastAsia" w:ascii="方正仿宋_GBK" w:hAnsi="Arial" w:eastAsia="方正仿宋_GBK" w:cs="仿宋_GB2312"/>
          <w:spacing w:val="16"/>
          <w:sz w:val="32"/>
          <w:szCs w:val="32"/>
          <w:lang w:val="zh-CN"/>
        </w:rPr>
        <w:t xml:space="preserve"> </w:t>
      </w:r>
      <w:r>
        <w:rPr>
          <w:rFonts w:hint="eastAsia" w:ascii="方正仿宋_GBK" w:hAnsi="Arial" w:eastAsia="方正仿宋_GBK" w:cs="仿宋_GB2312"/>
          <w:spacing w:val="12"/>
          <w:sz w:val="32"/>
          <w:szCs w:val="32"/>
          <w:lang w:val="zh-CN"/>
        </w:rPr>
        <w:t>对决定予以受理的申诉，学生申诉处理委员会在接到申诉申请书后5日内，启动申诉的处理程序。</w:t>
      </w:r>
    </w:p>
    <w:p>
      <w:pPr>
        <w:spacing w:line="600" w:lineRule="exact"/>
        <w:jc w:val="center"/>
        <w:rPr>
          <w:rFonts w:ascii="方正黑体_GBK" w:hAnsi="Arial" w:eastAsia="方正黑体_GBK" w:cs="仿宋_GB2312"/>
          <w:b/>
          <w:spacing w:val="16"/>
          <w:sz w:val="32"/>
          <w:szCs w:val="32"/>
          <w:lang w:val="zh-CN"/>
        </w:rPr>
      </w:pPr>
      <w:r>
        <w:rPr>
          <w:rFonts w:hint="eastAsia" w:ascii="方正黑体_GBK" w:hAnsi="Arial" w:eastAsia="方正黑体_GBK" w:cs="仿宋_GB2312"/>
          <w:b/>
          <w:spacing w:val="16"/>
          <w:sz w:val="32"/>
          <w:szCs w:val="32"/>
          <w:lang w:val="zh-CN"/>
        </w:rPr>
        <w:t>第三章  申诉的处理程序</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rPr>
      </w:pPr>
      <w:r>
        <w:rPr>
          <w:rFonts w:hint="eastAsia" w:ascii="方正黑体_GBK" w:hAnsi="Arial" w:eastAsia="方正黑体_GBK" w:cs="仿宋_GB2312"/>
          <w:spacing w:val="16"/>
          <w:sz w:val="32"/>
          <w:szCs w:val="32"/>
          <w:lang w:val="zh-CN"/>
        </w:rPr>
        <w:t>第十条</w:t>
      </w:r>
      <w:r>
        <w:rPr>
          <w:rFonts w:hint="eastAsia" w:ascii="方正仿宋_GBK" w:hAnsi="Arial" w:eastAsia="方正仿宋_GBK" w:cs="仿宋_GB2312"/>
          <w:spacing w:val="16"/>
          <w:sz w:val="32"/>
          <w:szCs w:val="32"/>
          <w:lang w:val="zh-CN"/>
        </w:rPr>
        <w:t xml:space="preserve"> 学生申诉处理委员会在决定受理申诉后，</w:t>
      </w:r>
      <w:r>
        <w:rPr>
          <w:rFonts w:hint="eastAsia" w:ascii="方正仿宋_GBK" w:hAnsi="Arial" w:eastAsia="方正仿宋_GBK" w:cs="仿宋_GB2312"/>
          <w:spacing w:val="12"/>
          <w:sz w:val="32"/>
          <w:szCs w:val="32"/>
        </w:rPr>
        <w:t>对学生提出的申诉进行复查，并在接到书面申诉之日起15日内作出复查结论并告知申诉人。</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第十一条</w:t>
      </w:r>
      <w:r>
        <w:rPr>
          <w:rFonts w:hint="eastAsia" w:ascii="方正仿宋_GBK" w:hAnsi="Arial" w:eastAsia="方正仿宋_GBK" w:cs="仿宋_GB2312"/>
          <w:spacing w:val="16"/>
          <w:sz w:val="32"/>
          <w:szCs w:val="32"/>
          <w:lang w:val="zh-CN"/>
        </w:rPr>
        <w:t xml:space="preserve"> 学生申诉处理委员会根据实际情况可采取书面审查或开听证会的方式处理申诉。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采取书面审查方式的，学生申诉处理委员会也应对相关当事人进行询问，开展必要的查证。</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学生申诉处理委员会决定采取听证会方式进行调查的，应按照第四章的有关规定和程序进行。</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第十二条</w:t>
      </w:r>
      <w:r>
        <w:rPr>
          <w:rFonts w:hint="eastAsia" w:ascii="方正仿宋_GBK" w:hAnsi="Arial" w:eastAsia="方正仿宋_GBK" w:cs="仿宋_GB2312"/>
          <w:spacing w:val="16"/>
          <w:sz w:val="32"/>
          <w:szCs w:val="32"/>
          <w:lang w:val="zh-CN"/>
        </w:rPr>
        <w:t xml:space="preserve"> 学生申诉处理委员会要根据实际情况提出处理意见，区别不同情况，做出下列决定：</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（一）原处理决定正确的，维持原处理决定；</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二）原处理决定依据不当或者处理明显不当的，做出变更原处理决定的决定或建议。对变更留校察看以下处分的，直接做出决定；对变更取消入学资格、退学处理或开除学籍处分的，提出建议，由校长办公会议研究决定。</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rPr>
      </w:pPr>
      <w:r>
        <w:rPr>
          <w:rFonts w:hint="eastAsia" w:ascii="方正黑体_GBK" w:hAnsi="Arial" w:eastAsia="方正黑体_GBK" w:cs="仿宋_GB2312"/>
          <w:spacing w:val="16"/>
          <w:sz w:val="32"/>
          <w:szCs w:val="32"/>
          <w:lang w:val="zh-CN"/>
        </w:rPr>
        <w:t xml:space="preserve">第十三条 </w:t>
      </w:r>
      <w:r>
        <w:rPr>
          <w:rFonts w:hint="eastAsia" w:ascii="方正仿宋_GBK" w:hAnsi="Arial" w:eastAsia="方正仿宋_GBK" w:cs="仿宋_GB2312"/>
          <w:spacing w:val="12"/>
          <w:sz w:val="32"/>
          <w:szCs w:val="32"/>
        </w:rPr>
        <w:t>学生申诉处理委员会经复查，认为做出处理或者处分的事实、依据、程序等存在不当，建议撤销或变更的处分决定的，学校将重新提交校长办公会或者专门会议作出决定。</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学生申诉处理委员会变更留校察看以下处分的决定，以学校名义发布，为学校的最终决定。</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第十四条</w:t>
      </w:r>
      <w:r>
        <w:rPr>
          <w:rFonts w:hint="eastAsia" w:ascii="方正仿宋_GBK" w:hAnsi="Arial" w:eastAsia="方正仿宋_GBK" w:cs="仿宋_GB2312"/>
          <w:spacing w:val="16"/>
          <w:sz w:val="32"/>
          <w:szCs w:val="32"/>
          <w:lang w:val="zh-CN"/>
        </w:rPr>
        <w:t xml:space="preserve"> 学生申诉处理委员会要将复查决定书及时送达申诉人。送达方式可采取下列任何一种：本人签收；按申请书通讯地址邮寄并在校内布告栏内公告。</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rPr>
      </w:pPr>
      <w:r>
        <w:rPr>
          <w:rFonts w:hint="eastAsia" w:ascii="方正黑体_GBK" w:hAnsi="Arial" w:eastAsia="方正黑体_GBK" w:cs="仿宋_GB2312"/>
          <w:spacing w:val="16"/>
          <w:sz w:val="32"/>
          <w:szCs w:val="32"/>
          <w:lang w:val="zh-CN"/>
        </w:rPr>
        <w:t>第十五条</w:t>
      </w:r>
      <w:r>
        <w:rPr>
          <w:rFonts w:hint="eastAsia" w:ascii="方正仿宋_GBK" w:hAnsi="Arial" w:eastAsia="方正仿宋_GBK" w:cs="仿宋_GB2312"/>
          <w:spacing w:val="16"/>
          <w:sz w:val="32"/>
          <w:szCs w:val="32"/>
          <w:lang w:val="zh-CN"/>
        </w:rPr>
        <w:t xml:space="preserve"> </w:t>
      </w:r>
      <w:r>
        <w:rPr>
          <w:rFonts w:hint="eastAsia" w:ascii="方正仿宋_GBK" w:hAnsi="Arial" w:eastAsia="方正仿宋_GBK" w:cs="仿宋_GB2312"/>
          <w:spacing w:val="12"/>
          <w:sz w:val="32"/>
          <w:szCs w:val="32"/>
        </w:rPr>
        <w:t>学生对复查决定有异议的，在接到学校复查决定书之日起15日内，可以向重庆市教育委员会提出书面申诉。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rPr>
      </w:pPr>
      <w:r>
        <w:rPr>
          <w:rFonts w:hint="eastAsia" w:ascii="方正仿宋_GBK" w:hAnsi="Arial" w:eastAsia="方正仿宋_GBK" w:cs="仿宋_GB2312"/>
          <w:spacing w:val="16"/>
          <w:sz w:val="32"/>
          <w:szCs w:val="32"/>
        </w:rPr>
        <w:t>自处理、处分或者复查决定书送达之日起，学生在申诉期内未提出申诉的视为放弃申诉，学校将不再受理其提出的申诉。</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第十六条</w:t>
      </w:r>
      <w:r>
        <w:rPr>
          <w:rFonts w:hint="eastAsia" w:ascii="方正仿宋_GBK" w:hAnsi="Arial" w:eastAsia="方正仿宋_GBK" w:cs="仿宋_GB2312"/>
          <w:spacing w:val="16"/>
          <w:sz w:val="32"/>
          <w:szCs w:val="32"/>
          <w:lang w:val="zh-CN"/>
        </w:rPr>
        <w:t xml:space="preserve"> 在申诉期间，原处理决定不停止执行。</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lang w:val="zh-CN"/>
        </w:rPr>
      </w:pPr>
      <w:r>
        <w:rPr>
          <w:rFonts w:hint="eastAsia" w:ascii="方正黑体_GBK" w:hAnsi="Arial" w:eastAsia="方正黑体_GBK" w:cs="仿宋_GB2312"/>
          <w:spacing w:val="16"/>
          <w:sz w:val="32"/>
          <w:szCs w:val="32"/>
          <w:lang w:val="zh-CN"/>
        </w:rPr>
        <w:t>第十七条</w:t>
      </w:r>
      <w:r>
        <w:rPr>
          <w:rFonts w:hint="eastAsia" w:ascii="方正仿宋_GBK" w:hAnsi="Arial" w:eastAsia="方正仿宋_GBK" w:cs="仿宋_GB2312"/>
          <w:spacing w:val="16"/>
          <w:sz w:val="32"/>
          <w:szCs w:val="32"/>
          <w:lang w:val="zh-CN"/>
        </w:rPr>
        <w:t xml:space="preserve"> </w:t>
      </w:r>
      <w:r>
        <w:rPr>
          <w:rFonts w:hint="eastAsia" w:ascii="方正仿宋_GBK" w:hAnsi="Arial" w:eastAsia="方正仿宋_GBK" w:cs="仿宋_GB2312"/>
          <w:spacing w:val="12"/>
          <w:sz w:val="32"/>
          <w:szCs w:val="32"/>
          <w:lang w:val="zh-CN"/>
        </w:rPr>
        <w:t>在未做出申诉处理决定前，学生可以撤回申诉。要求撤回申诉的，必须以书面形式提出。学生申诉处理委员会在接到关于撤回申诉的申请书后，可以停止受理工作。</w:t>
      </w:r>
    </w:p>
    <w:p>
      <w:pPr>
        <w:autoSpaceDE w:val="0"/>
        <w:autoSpaceDN w:val="0"/>
        <w:adjustRightInd w:val="0"/>
        <w:spacing w:line="600" w:lineRule="exact"/>
        <w:ind w:firstLine="704" w:firstLineChars="200"/>
        <w:rPr>
          <w:rFonts w:ascii="方正仿宋_GBK" w:hAnsi="Arial" w:eastAsia="方正仿宋_GBK" w:cs="仿宋_GB2312"/>
          <w:spacing w:val="12"/>
          <w:sz w:val="32"/>
          <w:szCs w:val="32"/>
        </w:rPr>
      </w:pPr>
      <w:r>
        <w:rPr>
          <w:rFonts w:hint="eastAsia" w:ascii="方正黑体_GBK" w:hAnsi="Arial" w:eastAsia="方正黑体_GBK" w:cs="仿宋_GB2312"/>
          <w:spacing w:val="16"/>
          <w:sz w:val="32"/>
          <w:szCs w:val="32"/>
          <w:lang w:val="zh-CN"/>
        </w:rPr>
        <w:t>第十八条</w:t>
      </w:r>
      <w:r>
        <w:rPr>
          <w:rFonts w:hint="eastAsia" w:ascii="方正仿宋_GBK" w:hAnsi="Arial" w:eastAsia="方正仿宋_GBK" w:cs="仿宋_GB2312"/>
          <w:spacing w:val="16"/>
          <w:sz w:val="32"/>
          <w:szCs w:val="32"/>
          <w:lang w:val="zh-CN"/>
        </w:rPr>
        <w:t xml:space="preserve"> </w:t>
      </w:r>
      <w:r>
        <w:rPr>
          <w:rFonts w:hint="eastAsia" w:ascii="方正仿宋_GBK" w:hAnsi="Arial" w:eastAsia="方正仿宋_GBK" w:cs="仿宋_GB2312"/>
          <w:spacing w:val="12"/>
          <w:sz w:val="32"/>
          <w:szCs w:val="32"/>
        </w:rPr>
        <w:t>学生认为学校及其工作人员违反本办法，侵害其合法权益的；或者学校制定的规章制度与法律法规和本办法抵触的，可以向重庆市教育委员会投诉。</w:t>
      </w:r>
    </w:p>
    <w:p>
      <w:pPr>
        <w:spacing w:line="600" w:lineRule="exact"/>
        <w:jc w:val="center"/>
        <w:rPr>
          <w:rFonts w:ascii="方正黑体_GBK" w:hAnsi="Arial" w:eastAsia="方正黑体_GBK" w:cs="仿宋_GB2312"/>
          <w:b/>
          <w:spacing w:val="16"/>
          <w:sz w:val="32"/>
          <w:szCs w:val="32"/>
          <w:lang w:val="zh-CN"/>
        </w:rPr>
      </w:pPr>
      <w:r>
        <w:rPr>
          <w:rFonts w:hint="eastAsia" w:ascii="方正黑体_GBK" w:hAnsi="Arial" w:eastAsia="方正黑体_GBK" w:cs="仿宋_GB2312"/>
          <w:b/>
          <w:spacing w:val="16"/>
          <w:sz w:val="32"/>
          <w:szCs w:val="32"/>
          <w:lang w:val="zh-CN"/>
        </w:rPr>
        <w:t>第四章  关于听证的规定和程序</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第十九条</w:t>
      </w:r>
      <w:r>
        <w:rPr>
          <w:rFonts w:hint="eastAsia" w:ascii="方正仿宋_GBK" w:hAnsi="Arial" w:eastAsia="方正仿宋_GBK" w:cs="仿宋_GB2312"/>
          <w:spacing w:val="16"/>
          <w:sz w:val="32"/>
          <w:szCs w:val="32"/>
          <w:lang w:val="zh-CN"/>
        </w:rPr>
        <w:t xml:space="preserve"> 学生申诉处理委员会根据申诉人或代理人请求，或申诉委员会认为应该实施听证程序的，应当举行听证。对没有请求的听证，学生申诉处理委员会在实施前应征得申诉人或代理人同意。听证主持人由学生申诉处理委员会成员担当。</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第二十条</w:t>
      </w:r>
      <w:r>
        <w:rPr>
          <w:rFonts w:hint="eastAsia" w:ascii="方正仿宋_GBK" w:hAnsi="Arial" w:eastAsia="方正仿宋_GBK" w:cs="仿宋_GB2312"/>
          <w:spacing w:val="16"/>
          <w:sz w:val="32"/>
          <w:szCs w:val="32"/>
          <w:lang w:val="zh-CN"/>
        </w:rPr>
        <w:t xml:space="preserve"> 听证主持人就听证活动行使下列职权：</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（一）决定举行听证的时间、地点和参加人员；</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（二）决定听证的延期、中止或者终结；</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（三）询问听证参加人；</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（四）接收并审核有关证据；</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（五）维护听证秩序，对违反听证秩序的人员进行警告，对情节严重者可以责令其退场；</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（六）向学生申诉处理委员会提出对申诉的处理意见。</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第二十一条</w:t>
      </w:r>
      <w:r>
        <w:rPr>
          <w:rFonts w:hint="eastAsia" w:ascii="方正仿宋_GBK" w:hAnsi="Arial" w:eastAsia="方正仿宋_GBK" w:cs="仿宋_GB2312"/>
          <w:spacing w:val="16"/>
          <w:sz w:val="32"/>
          <w:szCs w:val="32"/>
          <w:lang w:val="zh-CN"/>
        </w:rPr>
        <w:t xml:space="preserve"> 听证主持人在听证活动中应当公正地履行主持听证的职责，保证当事人行使陈述权、申辩权。</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第二十二条</w:t>
      </w:r>
      <w:r>
        <w:rPr>
          <w:rFonts w:hint="eastAsia" w:ascii="方正仿宋_GBK" w:hAnsi="Arial" w:eastAsia="方正仿宋_GBK" w:cs="仿宋_GB2312"/>
          <w:spacing w:val="16"/>
          <w:sz w:val="32"/>
          <w:szCs w:val="32"/>
          <w:lang w:val="zh-CN"/>
        </w:rPr>
        <w:t xml:space="preserve"> 参加听证的当事人和其他人员应按时参加听证，遵守听证秩序，如实回答听证主持人的询问，依法举证。</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听证开始前，听证记录员应当查明听证参加人是否到场，并宣读听证纪律。</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第二十三条</w:t>
      </w:r>
      <w:r>
        <w:rPr>
          <w:rFonts w:hint="eastAsia" w:ascii="方正仿宋_GBK" w:hAnsi="Arial" w:eastAsia="方正仿宋_GBK" w:cs="仿宋_GB2312"/>
          <w:spacing w:val="16"/>
          <w:sz w:val="32"/>
          <w:szCs w:val="32"/>
          <w:lang w:val="zh-CN"/>
        </w:rPr>
        <w:t xml:space="preserve"> 听证应当按照下列程序进行：</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（一）听证主持人宣布听证开始，宣布案由；</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（二）做出处分或处理的经办人就有关事实和依据进行陈述；</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（三）申诉当事人就事实、理由、证据或依据进行申辩，并可以出示相关证据材料；</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（四）经听证主持人允许，听证参加人可以就有关证据进行质问，也可以向到场的证人发问；</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（五）有关当事人作最后陈述；</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仿宋_GBK" w:hAnsi="Arial" w:eastAsia="方正仿宋_GBK" w:cs="仿宋_GB2312"/>
          <w:spacing w:val="16"/>
          <w:sz w:val="32"/>
          <w:szCs w:val="32"/>
          <w:lang w:val="zh-CN"/>
        </w:rPr>
        <w:t>（六）听证主持人宣布听证结束。</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第二十四条</w:t>
      </w:r>
      <w:r>
        <w:rPr>
          <w:rFonts w:hint="eastAsia" w:ascii="方正仿宋_GBK" w:hAnsi="Arial" w:eastAsia="方正仿宋_GBK" w:cs="仿宋_GB2312"/>
          <w:spacing w:val="16"/>
          <w:sz w:val="32"/>
          <w:szCs w:val="32"/>
          <w:lang w:val="zh-CN"/>
        </w:rPr>
        <w:t xml:space="preserve"> 听证记录员应当将听证的全部活动进行笔录，并由听证主持人和听证记录员签名。</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第二十五条</w:t>
      </w:r>
      <w:r>
        <w:rPr>
          <w:rFonts w:hint="eastAsia" w:ascii="方正仿宋_GBK" w:hAnsi="Arial" w:eastAsia="方正仿宋_GBK" w:cs="仿宋_GB2312"/>
          <w:spacing w:val="16"/>
          <w:sz w:val="32"/>
          <w:szCs w:val="32"/>
          <w:lang w:val="zh-CN"/>
        </w:rPr>
        <w:t xml:space="preserve"> 听证笔录还应当由当事人当场签名或者盖章。</w:t>
      </w:r>
    </w:p>
    <w:p>
      <w:pPr>
        <w:autoSpaceDE w:val="0"/>
        <w:autoSpaceDN w:val="0"/>
        <w:adjustRightInd w:val="0"/>
        <w:spacing w:line="600" w:lineRule="exact"/>
        <w:ind w:firstLine="704" w:firstLineChars="200"/>
        <w:rPr>
          <w:rFonts w:ascii="方正仿宋_GBK" w:hAnsi="Arial" w:eastAsia="方正仿宋_GBK" w:cs="仿宋_GB2312"/>
          <w:b/>
          <w:spacing w:val="16"/>
          <w:sz w:val="32"/>
          <w:szCs w:val="32"/>
          <w:lang w:val="zh-CN"/>
        </w:rPr>
      </w:pPr>
      <w:r>
        <w:rPr>
          <w:rFonts w:hint="eastAsia" w:ascii="方正黑体_GBK" w:hAnsi="Arial" w:eastAsia="方正黑体_GBK" w:cs="仿宋_GB2312"/>
          <w:spacing w:val="16"/>
          <w:sz w:val="32"/>
          <w:szCs w:val="32"/>
          <w:lang w:val="zh-CN"/>
        </w:rPr>
        <w:t>第二十六条</w:t>
      </w:r>
      <w:r>
        <w:rPr>
          <w:rFonts w:hint="eastAsia" w:ascii="方正黑体_GBK" w:hAnsi="Arial" w:eastAsia="方正黑体_GBK" w:cs="仿宋_GB2312"/>
          <w:spacing w:val="16"/>
          <w:sz w:val="32"/>
          <w:szCs w:val="32"/>
        </w:rPr>
        <w:t xml:space="preserve"> </w:t>
      </w:r>
      <w:r>
        <w:rPr>
          <w:rFonts w:hint="eastAsia" w:ascii="方正仿宋_GBK" w:hAnsi="Arial" w:eastAsia="方正仿宋_GBK" w:cs="仿宋_GB2312"/>
          <w:spacing w:val="16"/>
          <w:sz w:val="32"/>
          <w:szCs w:val="32"/>
          <w:lang w:val="zh-CN"/>
        </w:rPr>
        <w:t>听证结束后，听证主持人应当主持制作听证报告。</w:t>
      </w:r>
    </w:p>
    <w:p>
      <w:pPr>
        <w:spacing w:line="600" w:lineRule="exact"/>
        <w:jc w:val="center"/>
        <w:rPr>
          <w:rFonts w:ascii="方正黑体_GBK" w:hAnsi="Arial" w:eastAsia="方正黑体_GBK" w:cs="仿宋_GB2312"/>
          <w:b/>
          <w:spacing w:val="16"/>
          <w:sz w:val="32"/>
          <w:szCs w:val="32"/>
          <w:lang w:val="zh-CN"/>
        </w:rPr>
      </w:pPr>
      <w:r>
        <w:rPr>
          <w:rFonts w:hint="eastAsia" w:ascii="方正黑体_GBK" w:hAnsi="Arial" w:eastAsia="方正黑体_GBK" w:cs="仿宋_GB2312"/>
          <w:b/>
          <w:spacing w:val="16"/>
          <w:sz w:val="32"/>
          <w:szCs w:val="32"/>
          <w:lang w:val="zh-CN"/>
        </w:rPr>
        <w:t>第五章  附  则</w:t>
      </w:r>
    </w:p>
    <w:p>
      <w:pPr>
        <w:autoSpaceDE w:val="0"/>
        <w:autoSpaceDN w:val="0"/>
        <w:adjustRightInd w:val="0"/>
        <w:spacing w:line="600" w:lineRule="exact"/>
        <w:ind w:firstLine="704" w:firstLineChars="200"/>
        <w:rPr>
          <w:rFonts w:ascii="方正仿宋_GBK" w:hAnsi="Arial" w:eastAsia="方正仿宋_GBK" w:cs="仿宋_GB2312"/>
          <w:spacing w:val="16"/>
          <w:sz w:val="32"/>
          <w:szCs w:val="32"/>
          <w:lang w:val="zh-CN"/>
        </w:rPr>
      </w:pPr>
      <w:r>
        <w:rPr>
          <w:rFonts w:hint="eastAsia" w:ascii="方正黑体_GBK" w:hAnsi="Arial" w:eastAsia="方正黑体_GBK" w:cs="仿宋_GB2312"/>
          <w:spacing w:val="16"/>
          <w:sz w:val="32"/>
          <w:szCs w:val="32"/>
          <w:lang w:val="zh-CN"/>
        </w:rPr>
        <w:t>第二十七条</w:t>
      </w:r>
      <w:r>
        <w:rPr>
          <w:rFonts w:hint="eastAsia" w:ascii="方正仿宋_GBK" w:hAnsi="Arial" w:eastAsia="方正仿宋_GBK" w:cs="仿宋_GB2312"/>
          <w:spacing w:val="16"/>
          <w:sz w:val="32"/>
          <w:szCs w:val="32"/>
          <w:lang w:val="zh-CN"/>
        </w:rPr>
        <w:t xml:space="preserve"> 本办法于2017年9月1日起执行。</w:t>
      </w:r>
    </w:p>
    <w:p>
      <w:pPr>
        <w:autoSpaceDE w:val="0"/>
        <w:autoSpaceDN w:val="0"/>
        <w:adjustRightInd w:val="0"/>
        <w:spacing w:line="600" w:lineRule="exact"/>
        <w:ind w:firstLine="704" w:firstLineChars="200"/>
      </w:pPr>
      <w:r>
        <w:rPr>
          <w:rFonts w:hint="eastAsia" w:ascii="方正黑体_GBK" w:hAnsi="Arial" w:eastAsia="方正黑体_GBK" w:cs="仿宋_GB2312"/>
          <w:spacing w:val="16"/>
          <w:sz w:val="32"/>
          <w:szCs w:val="32"/>
          <w:lang w:val="zh-CN"/>
        </w:rPr>
        <w:t>第二十八条</w:t>
      </w:r>
      <w:r>
        <w:rPr>
          <w:rFonts w:hint="eastAsia" w:ascii="方正仿宋_GBK" w:hAnsi="Arial" w:eastAsia="方正仿宋_GBK" w:cs="仿宋_GB2312"/>
          <w:spacing w:val="16"/>
          <w:sz w:val="32"/>
          <w:szCs w:val="32"/>
          <w:lang w:val="zh-CN"/>
        </w:rPr>
        <w:t xml:space="preserve"> 本办法由学校授权校务部负责解释。</w:t>
      </w:r>
    </w:p>
    <w:p/>
    <w:p/>
    <w:p/>
    <w:p/>
    <w:p/>
    <w:p/>
    <w:p>
      <w:bookmarkStart w:id="1" w:name="_GoBack"/>
      <w:bookmarkEnd w:id="1"/>
    </w:p>
    <w:p/>
    <w:p>
      <w:pPr>
        <w:rPr>
          <w:rFonts w:ascii="方正黑体_GBK" w:hAnsi="宋体" w:eastAsia="方正黑体_GBK"/>
          <w:b/>
          <w:sz w:val="32"/>
          <w:szCs w:val="32"/>
        </w:rPr>
      </w:pPr>
      <w:r>
        <w:rPr>
          <w:rFonts w:hint="eastAsia" w:ascii="方正黑体_GBK" w:eastAsia="方正黑体_GBK"/>
          <w:sz w:val="32"/>
          <w:szCs w:val="32"/>
        </w:rPr>
        <w:t>附件：</w:t>
      </w:r>
    </w:p>
    <w:p>
      <w:pPr>
        <w:jc w:val="center"/>
        <w:rPr>
          <w:rFonts w:ascii="方正小标宋_GBK" w:hAnsi="宋体" w:eastAsia="方正小标宋_GBK"/>
          <w:b/>
          <w:sz w:val="44"/>
          <w:szCs w:val="44"/>
        </w:rPr>
      </w:pPr>
      <w:r>
        <w:rPr>
          <w:rFonts w:hint="eastAsia" w:ascii="方正小标宋_GBK" w:hAnsi="宋体" w:eastAsia="方正小标宋_GBK"/>
          <w:b/>
          <w:sz w:val="44"/>
          <w:szCs w:val="44"/>
        </w:rPr>
        <w:t>重庆电信职业学院学生申诉申请表</w:t>
      </w:r>
    </w:p>
    <w:p/>
    <w:p>
      <w:pPr>
        <w:ind w:firstLine="240" w:firstLineChars="100"/>
        <w:jc w:val="left"/>
        <w:rPr>
          <w:sz w:val="24"/>
        </w:rPr>
      </w:pPr>
      <w:r>
        <w:rPr>
          <w:rFonts w:hint="eastAsia"/>
          <w:sz w:val="24"/>
        </w:rPr>
        <w:t>编号：200X00X（年+序号）</w:t>
      </w:r>
    </w:p>
    <w:tbl>
      <w:tblPr>
        <w:tblStyle w:val="1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420"/>
        <w:gridCol w:w="1421"/>
        <w:gridCol w:w="1420"/>
        <w:gridCol w:w="711"/>
        <w:gridCol w:w="710"/>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9" w:type="dxa"/>
            <w:vAlign w:val="center"/>
          </w:tcPr>
          <w:p>
            <w:pPr>
              <w:ind w:firstLine="315" w:firstLineChars="150"/>
              <w:rPr>
                <w:rFonts w:ascii="宋体" w:hAnsi="宋体"/>
                <w:kern w:val="2"/>
                <w:sz w:val="21"/>
                <w:szCs w:val="21"/>
              </w:rPr>
            </w:pPr>
            <w:r>
              <w:rPr>
                <w:rFonts w:hint="eastAsia" w:ascii="宋体" w:hAnsi="宋体"/>
                <w:kern w:val="2"/>
                <w:sz w:val="21"/>
                <w:szCs w:val="21"/>
              </w:rPr>
              <w:t>申诉人</w:t>
            </w:r>
          </w:p>
          <w:p>
            <w:pPr>
              <w:jc w:val="center"/>
              <w:rPr>
                <w:rFonts w:ascii="宋体" w:hAnsi="宋体"/>
                <w:kern w:val="2"/>
                <w:sz w:val="21"/>
                <w:szCs w:val="21"/>
              </w:rPr>
            </w:pPr>
            <w:r>
              <w:rPr>
                <w:rFonts w:hint="eastAsia" w:ascii="宋体" w:hAnsi="宋体"/>
                <w:kern w:val="2"/>
                <w:sz w:val="21"/>
                <w:szCs w:val="21"/>
              </w:rPr>
              <w:t>姓 名</w:t>
            </w:r>
          </w:p>
        </w:tc>
        <w:tc>
          <w:tcPr>
            <w:tcW w:w="1420" w:type="dxa"/>
            <w:vAlign w:val="top"/>
          </w:tcPr>
          <w:p>
            <w:pPr>
              <w:spacing w:line="240" w:lineRule="exact"/>
              <w:rPr>
                <w:rFonts w:ascii="宋体" w:hAnsi="宋体"/>
                <w:kern w:val="2"/>
                <w:sz w:val="21"/>
                <w:szCs w:val="21"/>
              </w:rPr>
            </w:pPr>
          </w:p>
        </w:tc>
        <w:tc>
          <w:tcPr>
            <w:tcW w:w="1421" w:type="dxa"/>
            <w:vAlign w:val="center"/>
          </w:tcPr>
          <w:p>
            <w:pPr>
              <w:spacing w:line="240" w:lineRule="exact"/>
              <w:ind w:firstLine="315" w:firstLineChars="150"/>
              <w:rPr>
                <w:rFonts w:ascii="宋体" w:hAnsi="宋体"/>
                <w:kern w:val="2"/>
                <w:sz w:val="21"/>
                <w:szCs w:val="21"/>
              </w:rPr>
            </w:pPr>
            <w:r>
              <w:rPr>
                <w:rFonts w:hint="eastAsia" w:ascii="宋体" w:hAnsi="宋体"/>
                <w:kern w:val="2"/>
                <w:sz w:val="21"/>
                <w:szCs w:val="21"/>
              </w:rPr>
              <w:t>性别</w:t>
            </w:r>
          </w:p>
        </w:tc>
        <w:tc>
          <w:tcPr>
            <w:tcW w:w="1420" w:type="dxa"/>
            <w:vAlign w:val="top"/>
          </w:tcPr>
          <w:p>
            <w:pPr>
              <w:spacing w:line="240" w:lineRule="exact"/>
              <w:jc w:val="center"/>
              <w:rPr>
                <w:rFonts w:ascii="宋体" w:hAnsi="宋体"/>
                <w:kern w:val="2"/>
                <w:sz w:val="21"/>
                <w:szCs w:val="21"/>
              </w:rPr>
            </w:pPr>
          </w:p>
        </w:tc>
        <w:tc>
          <w:tcPr>
            <w:tcW w:w="1421" w:type="dxa"/>
            <w:gridSpan w:val="2"/>
            <w:vAlign w:val="top"/>
          </w:tcPr>
          <w:p>
            <w:pPr>
              <w:spacing w:line="240" w:lineRule="exact"/>
              <w:jc w:val="center"/>
              <w:rPr>
                <w:rFonts w:ascii="宋体" w:hAnsi="宋体"/>
                <w:kern w:val="2"/>
                <w:sz w:val="21"/>
                <w:szCs w:val="21"/>
              </w:rPr>
            </w:pPr>
          </w:p>
          <w:p>
            <w:pPr>
              <w:spacing w:line="240" w:lineRule="exact"/>
              <w:jc w:val="center"/>
              <w:rPr>
                <w:rFonts w:ascii="宋体" w:hAnsi="宋体"/>
                <w:kern w:val="2"/>
                <w:sz w:val="21"/>
                <w:szCs w:val="21"/>
              </w:rPr>
            </w:pPr>
            <w:r>
              <w:rPr>
                <w:rFonts w:hint="eastAsia" w:ascii="宋体" w:hAnsi="宋体"/>
                <w:kern w:val="2"/>
                <w:sz w:val="21"/>
                <w:szCs w:val="21"/>
              </w:rPr>
              <w:t>民族</w:t>
            </w:r>
          </w:p>
          <w:p>
            <w:pPr>
              <w:spacing w:line="240" w:lineRule="exact"/>
              <w:jc w:val="center"/>
              <w:rPr>
                <w:rFonts w:ascii="宋体" w:hAnsi="宋体"/>
                <w:kern w:val="2"/>
                <w:sz w:val="21"/>
                <w:szCs w:val="21"/>
              </w:rPr>
            </w:pPr>
          </w:p>
        </w:tc>
        <w:tc>
          <w:tcPr>
            <w:tcW w:w="1421" w:type="dxa"/>
            <w:vAlign w:val="top"/>
          </w:tcPr>
          <w:p>
            <w:pPr>
              <w:spacing w:line="240" w:lineRule="exact"/>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院 系</w:t>
            </w:r>
          </w:p>
          <w:p>
            <w:pPr>
              <w:jc w:val="center"/>
              <w:rPr>
                <w:rFonts w:ascii="宋体" w:hAnsi="宋体"/>
                <w:kern w:val="2"/>
                <w:sz w:val="21"/>
                <w:szCs w:val="21"/>
              </w:rPr>
            </w:pPr>
            <w:r>
              <w:rPr>
                <w:rFonts w:hint="eastAsia" w:ascii="宋体" w:hAnsi="宋体"/>
                <w:kern w:val="2"/>
                <w:sz w:val="21"/>
                <w:szCs w:val="21"/>
              </w:rPr>
              <w:t>年 级</w:t>
            </w:r>
          </w:p>
        </w:tc>
        <w:tc>
          <w:tcPr>
            <w:tcW w:w="1420" w:type="dxa"/>
            <w:vAlign w:val="top"/>
          </w:tcPr>
          <w:p>
            <w:pPr>
              <w:spacing w:line="240" w:lineRule="exact"/>
              <w:rPr>
                <w:rFonts w:ascii="宋体" w:hAnsi="宋体"/>
                <w:kern w:val="2"/>
                <w:sz w:val="21"/>
                <w:szCs w:val="21"/>
              </w:rPr>
            </w:pPr>
          </w:p>
        </w:tc>
        <w:tc>
          <w:tcPr>
            <w:tcW w:w="1421" w:type="dxa"/>
            <w:vAlign w:val="top"/>
          </w:tcPr>
          <w:p>
            <w:pPr>
              <w:spacing w:line="240" w:lineRule="exact"/>
              <w:jc w:val="center"/>
              <w:rPr>
                <w:rFonts w:ascii="宋体" w:hAnsi="宋体"/>
                <w:kern w:val="2"/>
                <w:sz w:val="21"/>
                <w:szCs w:val="21"/>
              </w:rPr>
            </w:pPr>
          </w:p>
          <w:p>
            <w:pPr>
              <w:spacing w:line="240" w:lineRule="exact"/>
              <w:jc w:val="center"/>
              <w:rPr>
                <w:rFonts w:ascii="宋体" w:hAnsi="宋体"/>
                <w:kern w:val="2"/>
                <w:sz w:val="21"/>
                <w:szCs w:val="21"/>
              </w:rPr>
            </w:pPr>
            <w:r>
              <w:rPr>
                <w:rFonts w:hint="eastAsia" w:ascii="宋体" w:hAnsi="宋体"/>
                <w:kern w:val="2"/>
                <w:sz w:val="21"/>
                <w:szCs w:val="21"/>
              </w:rPr>
              <w:t>专业</w:t>
            </w:r>
          </w:p>
          <w:p>
            <w:pPr>
              <w:spacing w:line="240" w:lineRule="exact"/>
              <w:jc w:val="center"/>
              <w:rPr>
                <w:rFonts w:ascii="宋体" w:hAnsi="宋体"/>
                <w:kern w:val="2"/>
                <w:sz w:val="21"/>
                <w:szCs w:val="21"/>
              </w:rPr>
            </w:pPr>
          </w:p>
        </w:tc>
        <w:tc>
          <w:tcPr>
            <w:tcW w:w="1420" w:type="dxa"/>
            <w:vAlign w:val="top"/>
          </w:tcPr>
          <w:p>
            <w:pPr>
              <w:spacing w:line="240" w:lineRule="exact"/>
              <w:jc w:val="center"/>
              <w:rPr>
                <w:rFonts w:ascii="宋体" w:hAnsi="宋体"/>
                <w:kern w:val="2"/>
                <w:sz w:val="21"/>
                <w:szCs w:val="21"/>
              </w:rPr>
            </w:pPr>
          </w:p>
        </w:tc>
        <w:tc>
          <w:tcPr>
            <w:tcW w:w="1421" w:type="dxa"/>
            <w:gridSpan w:val="2"/>
            <w:vAlign w:val="top"/>
          </w:tcPr>
          <w:p>
            <w:pPr>
              <w:spacing w:line="240" w:lineRule="exact"/>
              <w:jc w:val="center"/>
              <w:rPr>
                <w:rFonts w:ascii="宋体" w:hAnsi="宋体"/>
                <w:kern w:val="2"/>
                <w:sz w:val="21"/>
                <w:szCs w:val="21"/>
              </w:rPr>
            </w:pPr>
          </w:p>
          <w:p>
            <w:pPr>
              <w:spacing w:line="240" w:lineRule="exact"/>
              <w:jc w:val="center"/>
              <w:rPr>
                <w:rFonts w:ascii="宋体" w:hAnsi="宋体"/>
                <w:kern w:val="2"/>
                <w:sz w:val="21"/>
                <w:szCs w:val="21"/>
              </w:rPr>
            </w:pPr>
            <w:r>
              <w:rPr>
                <w:rFonts w:hint="eastAsia" w:ascii="宋体" w:hAnsi="宋体"/>
                <w:kern w:val="2"/>
                <w:sz w:val="21"/>
                <w:szCs w:val="21"/>
              </w:rPr>
              <w:t>学号</w:t>
            </w:r>
          </w:p>
        </w:tc>
        <w:tc>
          <w:tcPr>
            <w:tcW w:w="1421" w:type="dxa"/>
            <w:vAlign w:val="top"/>
          </w:tcPr>
          <w:p>
            <w:pPr>
              <w:spacing w:line="240" w:lineRule="exact"/>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家庭住址</w:t>
            </w:r>
          </w:p>
        </w:tc>
        <w:tc>
          <w:tcPr>
            <w:tcW w:w="4261" w:type="dxa"/>
            <w:gridSpan w:val="3"/>
            <w:vAlign w:val="top"/>
          </w:tcPr>
          <w:p>
            <w:pPr>
              <w:spacing w:line="240" w:lineRule="exact"/>
              <w:rPr>
                <w:rFonts w:ascii="宋体" w:hAnsi="宋体"/>
                <w:kern w:val="2"/>
                <w:sz w:val="21"/>
                <w:szCs w:val="21"/>
              </w:rPr>
            </w:pPr>
          </w:p>
        </w:tc>
        <w:tc>
          <w:tcPr>
            <w:tcW w:w="1421" w:type="dxa"/>
            <w:gridSpan w:val="2"/>
            <w:vAlign w:val="top"/>
          </w:tcPr>
          <w:p>
            <w:pPr>
              <w:spacing w:line="240" w:lineRule="exact"/>
              <w:jc w:val="center"/>
              <w:rPr>
                <w:rFonts w:ascii="宋体" w:hAnsi="宋体"/>
                <w:kern w:val="2"/>
                <w:sz w:val="21"/>
                <w:szCs w:val="21"/>
              </w:rPr>
            </w:pPr>
          </w:p>
          <w:p>
            <w:pPr>
              <w:spacing w:line="240" w:lineRule="exact"/>
              <w:jc w:val="center"/>
              <w:rPr>
                <w:rFonts w:ascii="宋体" w:hAnsi="宋体"/>
                <w:kern w:val="2"/>
                <w:sz w:val="21"/>
                <w:szCs w:val="21"/>
              </w:rPr>
            </w:pPr>
            <w:r>
              <w:rPr>
                <w:rFonts w:hint="eastAsia" w:ascii="宋体" w:hAnsi="宋体"/>
                <w:kern w:val="2"/>
                <w:sz w:val="21"/>
                <w:szCs w:val="21"/>
              </w:rPr>
              <w:t>身份证号</w:t>
            </w:r>
          </w:p>
        </w:tc>
        <w:tc>
          <w:tcPr>
            <w:tcW w:w="1421" w:type="dxa"/>
            <w:vAlign w:val="top"/>
          </w:tcPr>
          <w:p>
            <w:pPr>
              <w:spacing w:line="240" w:lineRule="exact"/>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联系电话</w:t>
            </w:r>
          </w:p>
        </w:tc>
        <w:tc>
          <w:tcPr>
            <w:tcW w:w="4261" w:type="dxa"/>
            <w:gridSpan w:val="3"/>
            <w:vAlign w:val="top"/>
          </w:tcPr>
          <w:p>
            <w:pPr>
              <w:spacing w:line="240" w:lineRule="exact"/>
              <w:jc w:val="center"/>
              <w:rPr>
                <w:rFonts w:ascii="宋体" w:hAnsi="宋体"/>
                <w:kern w:val="2"/>
                <w:sz w:val="21"/>
                <w:szCs w:val="21"/>
              </w:rPr>
            </w:pPr>
          </w:p>
        </w:tc>
        <w:tc>
          <w:tcPr>
            <w:tcW w:w="1421" w:type="dxa"/>
            <w:gridSpan w:val="2"/>
            <w:vAlign w:val="top"/>
          </w:tcPr>
          <w:p>
            <w:pPr>
              <w:spacing w:line="240" w:lineRule="exact"/>
              <w:jc w:val="center"/>
              <w:rPr>
                <w:rFonts w:ascii="宋体" w:hAnsi="宋体"/>
                <w:kern w:val="2"/>
                <w:sz w:val="21"/>
                <w:szCs w:val="21"/>
              </w:rPr>
            </w:pPr>
          </w:p>
          <w:p>
            <w:pPr>
              <w:spacing w:line="240" w:lineRule="exact"/>
              <w:jc w:val="center"/>
              <w:rPr>
                <w:rFonts w:ascii="宋体" w:hAnsi="宋体"/>
                <w:kern w:val="2"/>
                <w:sz w:val="21"/>
                <w:szCs w:val="21"/>
              </w:rPr>
            </w:pPr>
            <w:r>
              <w:rPr>
                <w:rFonts w:hint="eastAsia" w:ascii="宋体" w:hAnsi="宋体"/>
                <w:kern w:val="2"/>
                <w:sz w:val="21"/>
                <w:szCs w:val="21"/>
              </w:rPr>
              <w:t>发生时间</w:t>
            </w:r>
          </w:p>
        </w:tc>
        <w:tc>
          <w:tcPr>
            <w:tcW w:w="1421" w:type="dxa"/>
            <w:vAlign w:val="top"/>
          </w:tcPr>
          <w:p>
            <w:pPr>
              <w:spacing w:line="240" w:lineRule="exact"/>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申诉事实</w:t>
            </w:r>
          </w:p>
        </w:tc>
        <w:tc>
          <w:tcPr>
            <w:tcW w:w="7103" w:type="dxa"/>
            <w:gridSpan w:val="6"/>
            <w:vAlign w:val="center"/>
          </w:tcPr>
          <w:p>
            <w:pPr>
              <w:jc w:val="cente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申诉理由及说明</w:t>
            </w:r>
          </w:p>
        </w:tc>
        <w:tc>
          <w:tcPr>
            <w:tcW w:w="7103" w:type="dxa"/>
            <w:gridSpan w:val="6"/>
            <w:vAlign w:val="center"/>
          </w:tcPr>
          <w:p>
            <w:pPr>
              <w:jc w:val="cente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jc w:val="center"/>
        </w:trPr>
        <w:tc>
          <w:tcPr>
            <w:tcW w:w="1419" w:type="dxa"/>
            <w:vAlign w:val="top"/>
          </w:tcPr>
          <w:p>
            <w:pPr>
              <w:jc w:val="center"/>
              <w:rPr>
                <w:rFonts w:ascii="宋体" w:hAnsi="宋体"/>
                <w:kern w:val="2"/>
                <w:sz w:val="21"/>
                <w:szCs w:val="21"/>
              </w:rPr>
            </w:pPr>
          </w:p>
          <w:p>
            <w:pPr>
              <w:jc w:val="center"/>
              <w:rPr>
                <w:rFonts w:ascii="宋体" w:hAnsi="宋体"/>
                <w:kern w:val="2"/>
                <w:sz w:val="21"/>
                <w:szCs w:val="21"/>
              </w:rPr>
            </w:pPr>
            <w:r>
              <w:rPr>
                <w:rFonts w:hint="eastAsia" w:ascii="宋体" w:hAnsi="宋体"/>
                <w:kern w:val="2"/>
                <w:sz w:val="21"/>
                <w:szCs w:val="21"/>
              </w:rPr>
              <w:t>申诉请求</w:t>
            </w:r>
          </w:p>
          <w:p>
            <w:pPr>
              <w:jc w:val="center"/>
              <w:rPr>
                <w:rFonts w:ascii="宋体" w:hAnsi="宋体"/>
                <w:kern w:val="2"/>
                <w:sz w:val="21"/>
                <w:szCs w:val="21"/>
              </w:rPr>
            </w:pPr>
          </w:p>
        </w:tc>
        <w:tc>
          <w:tcPr>
            <w:tcW w:w="7103" w:type="dxa"/>
            <w:gridSpan w:val="6"/>
            <w:vAlign w:val="top"/>
          </w:tcPr>
          <w:p>
            <w:pP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9" w:type="dxa"/>
            <w:vAlign w:val="top"/>
          </w:tcPr>
          <w:p>
            <w:pPr>
              <w:jc w:val="center"/>
              <w:rPr>
                <w:rFonts w:ascii="宋体" w:hAnsi="宋体"/>
                <w:kern w:val="2"/>
                <w:sz w:val="21"/>
                <w:szCs w:val="21"/>
              </w:rPr>
            </w:pPr>
          </w:p>
          <w:p>
            <w:pPr>
              <w:jc w:val="center"/>
              <w:rPr>
                <w:rFonts w:ascii="宋体" w:hAnsi="宋体"/>
                <w:kern w:val="2"/>
                <w:sz w:val="21"/>
                <w:szCs w:val="21"/>
              </w:rPr>
            </w:pPr>
            <w:r>
              <w:rPr>
                <w:rFonts w:hint="eastAsia" w:ascii="宋体" w:hAnsi="宋体"/>
                <w:kern w:val="2"/>
                <w:sz w:val="21"/>
                <w:szCs w:val="21"/>
              </w:rPr>
              <w:t>所附文件及证据目录</w:t>
            </w:r>
          </w:p>
          <w:p>
            <w:pPr>
              <w:jc w:val="center"/>
              <w:rPr>
                <w:rFonts w:ascii="宋体" w:hAnsi="宋体"/>
                <w:kern w:val="2"/>
                <w:sz w:val="21"/>
                <w:szCs w:val="21"/>
              </w:rPr>
            </w:pPr>
          </w:p>
        </w:tc>
        <w:tc>
          <w:tcPr>
            <w:tcW w:w="7103" w:type="dxa"/>
            <w:gridSpan w:val="6"/>
            <w:vAlign w:val="top"/>
          </w:tcPr>
          <w:p>
            <w:pP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19" w:type="dxa"/>
            <w:vAlign w:val="center"/>
          </w:tcPr>
          <w:p>
            <w:pPr>
              <w:jc w:val="center"/>
              <w:rPr>
                <w:rFonts w:ascii="宋体" w:hAnsi="宋体"/>
                <w:kern w:val="2"/>
                <w:sz w:val="21"/>
                <w:szCs w:val="21"/>
              </w:rPr>
            </w:pPr>
          </w:p>
          <w:p>
            <w:pPr>
              <w:jc w:val="center"/>
              <w:rPr>
                <w:rFonts w:ascii="宋体" w:hAnsi="宋体"/>
                <w:kern w:val="2"/>
                <w:sz w:val="21"/>
                <w:szCs w:val="21"/>
              </w:rPr>
            </w:pPr>
            <w:r>
              <w:rPr>
                <w:rFonts w:hint="eastAsia" w:ascii="宋体" w:hAnsi="宋体"/>
                <w:kern w:val="2"/>
                <w:sz w:val="21"/>
                <w:szCs w:val="21"/>
              </w:rPr>
              <w:t>拟请回避的委员姓名</w:t>
            </w:r>
          </w:p>
          <w:p>
            <w:pPr>
              <w:jc w:val="center"/>
              <w:rPr>
                <w:rFonts w:ascii="宋体" w:hAnsi="宋体"/>
                <w:kern w:val="2"/>
                <w:sz w:val="21"/>
                <w:szCs w:val="21"/>
              </w:rPr>
            </w:pPr>
          </w:p>
        </w:tc>
        <w:tc>
          <w:tcPr>
            <w:tcW w:w="2841" w:type="dxa"/>
            <w:gridSpan w:val="2"/>
            <w:vAlign w:val="top"/>
          </w:tcPr>
          <w:p>
            <w:pPr>
              <w:rPr>
                <w:rFonts w:ascii="宋体" w:hAnsi="宋体"/>
                <w:kern w:val="2"/>
                <w:sz w:val="21"/>
                <w:szCs w:val="21"/>
              </w:rPr>
            </w:pPr>
          </w:p>
        </w:tc>
        <w:tc>
          <w:tcPr>
            <w:tcW w:w="2131" w:type="dxa"/>
            <w:gridSpan w:val="2"/>
            <w:vAlign w:val="center"/>
          </w:tcPr>
          <w:p>
            <w:pPr>
              <w:ind w:firstLine="525" w:firstLineChars="250"/>
              <w:rPr>
                <w:rFonts w:ascii="宋体" w:hAnsi="宋体"/>
                <w:kern w:val="2"/>
                <w:sz w:val="21"/>
                <w:szCs w:val="21"/>
              </w:rPr>
            </w:pPr>
            <w:r>
              <w:rPr>
                <w:rFonts w:hint="eastAsia" w:ascii="宋体" w:hAnsi="宋体"/>
                <w:kern w:val="2"/>
                <w:sz w:val="21"/>
                <w:szCs w:val="21"/>
              </w:rPr>
              <w:t>回避理由</w:t>
            </w:r>
          </w:p>
        </w:tc>
        <w:tc>
          <w:tcPr>
            <w:tcW w:w="2131" w:type="dxa"/>
            <w:gridSpan w:val="2"/>
            <w:vAlign w:val="top"/>
          </w:tcPr>
          <w:p>
            <w:pP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处理流程</w:t>
            </w:r>
          </w:p>
        </w:tc>
        <w:tc>
          <w:tcPr>
            <w:tcW w:w="7103" w:type="dxa"/>
            <w:gridSpan w:val="6"/>
            <w:vAlign w:val="center"/>
          </w:tcPr>
          <w:p>
            <w:pPr>
              <w:jc w:val="cente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签收人</w:t>
            </w:r>
          </w:p>
        </w:tc>
        <w:tc>
          <w:tcPr>
            <w:tcW w:w="7103" w:type="dxa"/>
            <w:gridSpan w:val="6"/>
            <w:vAlign w:val="center"/>
          </w:tcPr>
          <w:p>
            <w:pPr>
              <w:jc w:val="center"/>
              <w:rPr>
                <w:rFonts w:ascii="宋体" w:hAnsi="宋体"/>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419" w:type="dxa"/>
            <w:vAlign w:val="center"/>
          </w:tcPr>
          <w:p>
            <w:pPr>
              <w:jc w:val="center"/>
              <w:rPr>
                <w:rFonts w:ascii="宋体" w:hAnsi="宋体"/>
                <w:kern w:val="2"/>
                <w:sz w:val="21"/>
                <w:szCs w:val="21"/>
              </w:rPr>
            </w:pPr>
            <w:r>
              <w:rPr>
                <w:rFonts w:hint="eastAsia" w:ascii="宋体" w:hAnsi="宋体"/>
                <w:kern w:val="2"/>
                <w:sz w:val="21"/>
                <w:szCs w:val="21"/>
              </w:rPr>
              <w:t>签收日期</w:t>
            </w:r>
          </w:p>
        </w:tc>
        <w:tc>
          <w:tcPr>
            <w:tcW w:w="7103" w:type="dxa"/>
            <w:gridSpan w:val="6"/>
            <w:vAlign w:val="center"/>
          </w:tcPr>
          <w:p>
            <w:pPr>
              <w:jc w:val="center"/>
              <w:rPr>
                <w:rFonts w:ascii="宋体" w:hAnsi="宋体"/>
                <w:kern w:val="2"/>
                <w:sz w:val="21"/>
                <w:szCs w:val="21"/>
              </w:rPr>
            </w:pPr>
            <w:r>
              <w:rPr>
                <w:rFonts w:hint="eastAsia" w:ascii="宋体" w:hAnsi="宋体"/>
                <w:kern w:val="2"/>
                <w:sz w:val="21"/>
                <w:szCs w:val="21"/>
              </w:rPr>
              <w:t xml:space="preserve">                                       年       月        日</w:t>
            </w:r>
          </w:p>
        </w:tc>
      </w:tr>
    </w:tbl>
    <w:p>
      <w:pPr>
        <w:ind w:firstLine="420" w:firstLineChars="200"/>
        <w:rPr>
          <w:rFonts w:ascii="宋体" w:hAnsi="宋体"/>
          <w:szCs w:val="21"/>
        </w:rPr>
      </w:pPr>
      <w:r>
        <w:rPr>
          <w:rFonts w:hint="eastAsia" w:ascii="宋体" w:hAnsi="宋体"/>
          <w:szCs w:val="21"/>
        </w:rPr>
        <w:t>本表一式两分份，一份留在学生申诉处理委员会，一份由本人保管说明：</w:t>
      </w:r>
    </w:p>
    <w:p>
      <w:pPr>
        <w:ind w:firstLine="420" w:firstLineChars="200"/>
        <w:rPr>
          <w:rFonts w:ascii="宋体" w:hAnsi="宋体"/>
          <w:szCs w:val="21"/>
        </w:rPr>
      </w:pPr>
      <w:r>
        <w:rPr>
          <w:rFonts w:hint="eastAsia" w:ascii="宋体" w:hAnsi="宋体"/>
          <w:szCs w:val="21"/>
        </w:rPr>
        <w:t>一、学生申诉应于得到处分通知之日起，10日内提出，逾期不予处理。</w:t>
      </w:r>
    </w:p>
    <w:p>
      <w:pPr>
        <w:ind w:firstLine="420" w:firstLineChars="200"/>
        <w:rPr>
          <w:rFonts w:ascii="宋体" w:hAnsi="宋体"/>
          <w:szCs w:val="21"/>
        </w:rPr>
      </w:pPr>
      <w:r>
        <w:rPr>
          <w:rFonts w:hint="eastAsia" w:ascii="宋体" w:hAnsi="宋体"/>
          <w:szCs w:val="21"/>
        </w:rPr>
        <w:t>二、本表限填一项申诉事件，如有两种以上得申诉时间，则分别填写并装订在一起。</w:t>
      </w:r>
    </w:p>
    <w:p>
      <w:pPr>
        <w:ind w:firstLine="420" w:firstLineChars="200"/>
        <w:rPr>
          <w:rFonts w:ascii="宋体" w:hAnsi="宋体"/>
          <w:szCs w:val="21"/>
        </w:rPr>
      </w:pPr>
      <w:r>
        <w:rPr>
          <w:rFonts w:hint="eastAsia" w:ascii="宋体" w:hAnsi="宋体"/>
          <w:szCs w:val="21"/>
        </w:rPr>
        <w:t>另附本人申诉书、相关证据文件复印件（各两份）</w:t>
      </w:r>
    </w:p>
    <w:sectPr>
      <w:pgSz w:w="11906" w:h="16838"/>
      <w:pgMar w:top="1985"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FangSong_GB2312-Identity-H">
    <w:altName w:val="宋体"/>
    <w:panose1 w:val="00000000000000000000"/>
    <w:charset w:val="86"/>
    <w:family w:val="auto"/>
    <w:pitch w:val="default"/>
    <w:sig w:usb0="00000000" w:usb1="00000000" w:usb2="00000010" w:usb3="00000000" w:csb0="00040000" w:csb1="00000000"/>
  </w:font>
  <w:font w:name="hakuyoxingshu7000">
    <w:altName w:val="宋体"/>
    <w:panose1 w:val="02000600000000000000"/>
    <w:charset w:val="86"/>
    <w:family w:val="auto"/>
    <w:pitch w:val="default"/>
    <w:sig w:usb0="00000000" w:usb1="00000000" w:usb2="0000003F" w:usb3="00000000" w:csb0="603F00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66409"/>
    <w:rsid w:val="00030F6B"/>
    <w:rsid w:val="0005402C"/>
    <w:rsid w:val="000917F6"/>
    <w:rsid w:val="001A225E"/>
    <w:rsid w:val="001D5084"/>
    <w:rsid w:val="002251F7"/>
    <w:rsid w:val="002C64A3"/>
    <w:rsid w:val="002E3748"/>
    <w:rsid w:val="002F2947"/>
    <w:rsid w:val="00303CB8"/>
    <w:rsid w:val="0031560B"/>
    <w:rsid w:val="003421D6"/>
    <w:rsid w:val="00366FA7"/>
    <w:rsid w:val="00386A5F"/>
    <w:rsid w:val="003D4965"/>
    <w:rsid w:val="00450EBA"/>
    <w:rsid w:val="00472A5E"/>
    <w:rsid w:val="00472FE6"/>
    <w:rsid w:val="004C568F"/>
    <w:rsid w:val="00506750"/>
    <w:rsid w:val="005124DE"/>
    <w:rsid w:val="005562F4"/>
    <w:rsid w:val="00566409"/>
    <w:rsid w:val="00570595"/>
    <w:rsid w:val="00611248"/>
    <w:rsid w:val="00685905"/>
    <w:rsid w:val="006B0A97"/>
    <w:rsid w:val="006D2C0B"/>
    <w:rsid w:val="006F093A"/>
    <w:rsid w:val="00710783"/>
    <w:rsid w:val="00730CE2"/>
    <w:rsid w:val="00756774"/>
    <w:rsid w:val="0076580C"/>
    <w:rsid w:val="008469A2"/>
    <w:rsid w:val="008C60AD"/>
    <w:rsid w:val="008F353D"/>
    <w:rsid w:val="008F7B89"/>
    <w:rsid w:val="009074DC"/>
    <w:rsid w:val="009C33BD"/>
    <w:rsid w:val="00A0037A"/>
    <w:rsid w:val="00A84499"/>
    <w:rsid w:val="00A97998"/>
    <w:rsid w:val="00B7485E"/>
    <w:rsid w:val="00B86C70"/>
    <w:rsid w:val="00BE29D2"/>
    <w:rsid w:val="00C815A6"/>
    <w:rsid w:val="00C815E7"/>
    <w:rsid w:val="00CF3480"/>
    <w:rsid w:val="00D30A79"/>
    <w:rsid w:val="00D326F4"/>
    <w:rsid w:val="00D33AFB"/>
    <w:rsid w:val="00D8142B"/>
    <w:rsid w:val="00D931E8"/>
    <w:rsid w:val="00E461AE"/>
    <w:rsid w:val="00E54E49"/>
    <w:rsid w:val="00E7300C"/>
    <w:rsid w:val="00EB33AE"/>
    <w:rsid w:val="00EF10BB"/>
    <w:rsid w:val="00F8470C"/>
    <w:rsid w:val="00FA3F53"/>
    <w:rsid w:val="00FB51F6"/>
    <w:rsid w:val="00FD5D18"/>
    <w:rsid w:val="01CA56D5"/>
    <w:rsid w:val="03492015"/>
    <w:rsid w:val="07EA0049"/>
    <w:rsid w:val="0E851B7B"/>
    <w:rsid w:val="16922A36"/>
    <w:rsid w:val="16A92637"/>
    <w:rsid w:val="22AA63D6"/>
    <w:rsid w:val="23B63F5C"/>
    <w:rsid w:val="2CAD1FE1"/>
    <w:rsid w:val="30F013BA"/>
    <w:rsid w:val="31D275CA"/>
    <w:rsid w:val="32894328"/>
    <w:rsid w:val="34310E82"/>
    <w:rsid w:val="37A54899"/>
    <w:rsid w:val="399F2E29"/>
    <w:rsid w:val="3AC35F2B"/>
    <w:rsid w:val="3C2D1137"/>
    <w:rsid w:val="417C6D87"/>
    <w:rsid w:val="42A4182A"/>
    <w:rsid w:val="439E427D"/>
    <w:rsid w:val="56B5048F"/>
    <w:rsid w:val="587E33FA"/>
    <w:rsid w:val="589A3CC6"/>
    <w:rsid w:val="5E7B7D33"/>
    <w:rsid w:val="60900BBD"/>
    <w:rsid w:val="62634495"/>
    <w:rsid w:val="64E15C54"/>
    <w:rsid w:val="68D87914"/>
    <w:rsid w:val="6A031293"/>
    <w:rsid w:val="75ED4037"/>
    <w:rsid w:val="78AF686B"/>
    <w:rsid w:val="7E993978"/>
    <w:rsid w:val="7F2A3F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b/>
      <w:bCs/>
    </w:rPr>
  </w:style>
  <w:style w:type="character" w:styleId="9">
    <w:name w:val="annotation reference"/>
    <w:basedOn w:val="7"/>
    <w:unhideWhenUsed/>
    <w:qFormat/>
    <w:uiPriority w:val="99"/>
    <w:rPr>
      <w:sz w:val="21"/>
      <w:szCs w:val="21"/>
    </w:rPr>
  </w:style>
  <w:style w:type="table" w:styleId="11">
    <w:name w:val="Table Grid"/>
    <w:basedOn w:val="10"/>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basedOn w:val="7"/>
    <w:link w:val="5"/>
    <w:qFormat/>
    <w:uiPriority w:val="99"/>
    <w:rPr>
      <w:rFonts w:ascii="Times New Roman" w:hAnsi="Times New Roman" w:eastAsia="宋体" w:cs="Times New Roman"/>
      <w:sz w:val="18"/>
      <w:szCs w:val="18"/>
    </w:rPr>
  </w:style>
  <w:style w:type="character" w:customStyle="1" w:styleId="13">
    <w:name w:val="页脚 Char"/>
    <w:basedOn w:val="7"/>
    <w:link w:val="4"/>
    <w:qFormat/>
    <w:uiPriority w:val="99"/>
    <w:rPr>
      <w:rFonts w:ascii="Times New Roman" w:hAnsi="Times New Roman" w:eastAsia="宋体" w:cs="Times New Roman"/>
      <w:sz w:val="18"/>
      <w:szCs w:val="18"/>
    </w:rPr>
  </w:style>
  <w:style w:type="character" w:customStyle="1" w:styleId="14">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437</Words>
  <Characters>2492</Characters>
  <Lines>20</Lines>
  <Paragraphs>5</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2017-06-07T06:45:00Z</dcterms:created>
  <dc:creator>林芊</dc:creator>
  <cp:lastModifiedBy>Administrator</cp:lastModifiedBy>
  <cp:lastPrinted>2017-08-10T13:05:00Z</cp:lastPrinted>
  <dcterms:modified xsi:type="dcterms:W3CDTF">2017-11-06T03:34:59Z</dcterms:modified>
  <dc:title>重庆电信职业学院_x000B_学生申诉处理办法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